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B2688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53410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18.03.2025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534104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534104" w:rsidRPr="00534104" w:rsidRDefault="00534104" w:rsidP="00534104">
      <w:pPr>
        <w:jc w:val="center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 xml:space="preserve">О внесении изменений в постановление Администрации </w:t>
      </w:r>
    </w:p>
    <w:p w:rsidR="00534104" w:rsidRPr="00534104" w:rsidRDefault="00534104" w:rsidP="00534104">
      <w:pPr>
        <w:jc w:val="center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 xml:space="preserve">Нововаршавского муниципального района Омской области </w:t>
      </w:r>
    </w:p>
    <w:p w:rsidR="00534104" w:rsidRPr="00534104" w:rsidRDefault="00534104" w:rsidP="00534104">
      <w:pPr>
        <w:jc w:val="center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>от 30 декабря 2015 года № 882-п «О ведении и формировании реестра муниципальных маршрутов регулярных перевозок на территории Нововаршавского муниципального района Омской области»</w:t>
      </w:r>
    </w:p>
    <w:p w:rsidR="00534104" w:rsidRPr="00534104" w:rsidRDefault="00534104" w:rsidP="00534104">
      <w:pPr>
        <w:rPr>
          <w:rFonts w:ascii="Times New Roman" w:hAnsi="Times New Roman"/>
          <w:szCs w:val="24"/>
        </w:rPr>
      </w:pPr>
    </w:p>
    <w:p w:rsidR="00534104" w:rsidRPr="00534104" w:rsidRDefault="00534104" w:rsidP="00534104">
      <w:pPr>
        <w:ind w:firstLine="567"/>
        <w:jc w:val="both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 xml:space="preserve">В соответствии с требованиями Федерального закона от 13 июля 2015 года № 220-ФЗ </w:t>
      </w:r>
      <w:r>
        <w:rPr>
          <w:rFonts w:ascii="Times New Roman" w:hAnsi="Times New Roman"/>
          <w:szCs w:val="24"/>
        </w:rPr>
        <w:t xml:space="preserve">  </w:t>
      </w:r>
      <w:proofErr w:type="gramStart"/>
      <w:r>
        <w:rPr>
          <w:rFonts w:ascii="Times New Roman" w:hAnsi="Times New Roman"/>
          <w:szCs w:val="24"/>
        </w:rPr>
        <w:t xml:space="preserve">   </w:t>
      </w:r>
      <w:r w:rsidRPr="00534104">
        <w:rPr>
          <w:rFonts w:ascii="Times New Roman" w:hAnsi="Times New Roman"/>
          <w:szCs w:val="24"/>
        </w:rPr>
        <w:t>«</w:t>
      </w:r>
      <w:proofErr w:type="gramEnd"/>
      <w:r w:rsidRPr="00534104">
        <w:rPr>
          <w:rFonts w:ascii="Times New Roman" w:hAnsi="Times New Roman"/>
          <w:bCs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534104">
        <w:rPr>
          <w:rFonts w:ascii="Times New Roman" w:hAnsi="Times New Roman"/>
          <w:b/>
          <w:bCs/>
          <w:szCs w:val="24"/>
        </w:rPr>
        <w:t>»</w:t>
      </w:r>
      <w:r w:rsidRPr="00534104">
        <w:rPr>
          <w:rFonts w:ascii="Times New Roman" w:hAnsi="Times New Roman"/>
          <w:szCs w:val="24"/>
        </w:rPr>
        <w:t>,</w:t>
      </w:r>
      <w:r w:rsidRPr="00534104">
        <w:rPr>
          <w:rFonts w:ascii="Times New Roman" w:hAnsi="Times New Roman"/>
          <w:b/>
          <w:szCs w:val="24"/>
        </w:rPr>
        <w:t xml:space="preserve"> </w:t>
      </w:r>
      <w:r w:rsidRPr="00534104">
        <w:rPr>
          <w:rFonts w:ascii="Times New Roman" w:hAnsi="Times New Roman"/>
          <w:szCs w:val="24"/>
        </w:rPr>
        <w:t>руководствуясь ст. 30 Устава Нововаршавского муниципального района Омской области, ПОСТАНОВЛЯЮ:</w:t>
      </w:r>
    </w:p>
    <w:p w:rsidR="00534104" w:rsidRPr="00534104" w:rsidRDefault="00534104" w:rsidP="00534104">
      <w:pPr>
        <w:ind w:firstLine="567"/>
        <w:jc w:val="both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 xml:space="preserve">1. Реестр муниципальных маршрутов регулярных перевозок на территории Нововаршавского муниципального района Омской области, утвержденный постановлением Администрации Нововаршавского муниципального района Омской области от 30 декабря </w:t>
      </w:r>
      <w:r>
        <w:rPr>
          <w:rFonts w:ascii="Times New Roman" w:hAnsi="Times New Roman"/>
          <w:szCs w:val="24"/>
        </w:rPr>
        <w:t xml:space="preserve">      </w:t>
      </w:r>
      <w:r w:rsidRPr="00534104">
        <w:rPr>
          <w:rFonts w:ascii="Times New Roman" w:hAnsi="Times New Roman"/>
          <w:szCs w:val="24"/>
        </w:rPr>
        <w:t>2015 года № 882-п, изложить в редакции согласно приложению, к настоящему постановлению.</w:t>
      </w:r>
    </w:p>
    <w:p w:rsidR="00534104" w:rsidRPr="00534104" w:rsidRDefault="00534104" w:rsidP="00534104">
      <w:pPr>
        <w:ind w:firstLine="567"/>
        <w:jc w:val="both"/>
        <w:rPr>
          <w:rFonts w:ascii="Times New Roman" w:hAnsi="Times New Roman"/>
          <w:color w:val="FF0000"/>
          <w:szCs w:val="24"/>
        </w:rPr>
      </w:pPr>
      <w:r w:rsidRPr="00534104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Pr="00534104">
        <w:rPr>
          <w:rFonts w:ascii="Times New Roman" w:hAnsi="Times New Roman"/>
          <w:szCs w:val="24"/>
        </w:rPr>
        <w:t>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534104" w:rsidRPr="00534104" w:rsidRDefault="00534104" w:rsidP="00534104">
      <w:pPr>
        <w:ind w:firstLine="567"/>
        <w:jc w:val="both"/>
        <w:rPr>
          <w:rFonts w:ascii="Times New Roman" w:hAnsi="Times New Roman"/>
          <w:szCs w:val="24"/>
        </w:rPr>
      </w:pPr>
      <w:r w:rsidRPr="00534104">
        <w:rPr>
          <w:rFonts w:ascii="Times New Roman" w:hAnsi="Times New Roman"/>
          <w:szCs w:val="24"/>
        </w:rPr>
        <w:t>3. Контроль за исполнением настоящего постановления возложить на первого заместителя главы Нововаршавского муниципального района Омской области, председателя комитета по жизнеобеспечению, архитектуре и строительству Администрации Нововаршавского муниципального района Омской области.</w:t>
      </w:r>
    </w:p>
    <w:p w:rsidR="006E1FC6" w:rsidRDefault="006E1FC6">
      <w:pPr>
        <w:jc w:val="both"/>
        <w:rPr>
          <w:rFonts w:ascii="Times New Roman" w:hAnsi="Times New Roman"/>
          <w:szCs w:val="24"/>
        </w:rPr>
      </w:pPr>
    </w:p>
    <w:p w:rsidR="00534104" w:rsidRDefault="00534104">
      <w:pPr>
        <w:jc w:val="both"/>
        <w:rPr>
          <w:rFonts w:ascii="Times New Roman" w:hAnsi="Times New Roman"/>
          <w:szCs w:val="24"/>
        </w:rPr>
      </w:pPr>
    </w:p>
    <w:p w:rsidR="00534104" w:rsidRDefault="005341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 Нововаршавского</w:t>
      </w:r>
    </w:p>
    <w:p w:rsidR="00534104" w:rsidRDefault="0053410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муниципального района Омской области                                                                            В.А. </w:t>
      </w:r>
      <w:proofErr w:type="spellStart"/>
      <w:r>
        <w:rPr>
          <w:rFonts w:ascii="Times New Roman" w:hAnsi="Times New Roman"/>
          <w:szCs w:val="24"/>
        </w:rPr>
        <w:t>Шефер</w:t>
      </w:r>
      <w:proofErr w:type="spellEnd"/>
    </w:p>
    <w:p w:rsidR="00534104" w:rsidRDefault="00534104">
      <w:pPr>
        <w:jc w:val="both"/>
        <w:rPr>
          <w:rFonts w:ascii="Times New Roman" w:hAnsi="Times New Roman"/>
          <w:sz w:val="26"/>
        </w:rPr>
        <w:sectPr w:rsidR="00534104" w:rsidSect="00E319C4">
          <w:headerReference w:type="default" r:id="rId7"/>
          <w:pgSz w:w="11907" w:h="16840" w:code="9"/>
          <w:pgMar w:top="1134" w:right="737" w:bottom="1134" w:left="1134" w:header="567" w:footer="720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5387"/>
      </w:tblGrid>
      <w:tr w:rsidR="00534104" w:rsidRPr="00534104" w:rsidTr="00AE6FC1">
        <w:tc>
          <w:tcPr>
            <w:tcW w:w="10456" w:type="dxa"/>
            <w:shd w:val="clear" w:color="auto" w:fill="auto"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  <w:r w:rsidRPr="00534104">
              <w:rPr>
                <w:rFonts w:ascii="Times New Roman" w:hAnsi="Times New Roman"/>
                <w:szCs w:val="24"/>
              </w:rPr>
              <w:t>Приложение к постановлению</w:t>
            </w:r>
          </w:p>
          <w:p w:rsidR="00534104" w:rsidRPr="00534104" w:rsidRDefault="00534104" w:rsidP="00AE6FC1">
            <w:pPr>
              <w:rPr>
                <w:rFonts w:ascii="Times New Roman" w:hAnsi="Times New Roman"/>
                <w:szCs w:val="24"/>
              </w:rPr>
            </w:pPr>
            <w:r w:rsidRPr="00534104">
              <w:rPr>
                <w:rFonts w:ascii="Times New Roman" w:hAnsi="Times New Roman"/>
                <w:szCs w:val="24"/>
              </w:rPr>
              <w:t>Администрации Нововаршавского муниципального района Омской области</w:t>
            </w:r>
          </w:p>
        </w:tc>
      </w:tr>
      <w:tr w:rsidR="00534104" w:rsidRPr="00534104" w:rsidTr="00AE6FC1">
        <w:tc>
          <w:tcPr>
            <w:tcW w:w="10456" w:type="dxa"/>
            <w:shd w:val="clear" w:color="auto" w:fill="auto"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«18» марта 2025 года № 74-п</w:t>
            </w:r>
          </w:p>
        </w:tc>
      </w:tr>
      <w:tr w:rsidR="00534104" w:rsidRPr="00534104" w:rsidTr="00AE6FC1">
        <w:tc>
          <w:tcPr>
            <w:tcW w:w="10456" w:type="dxa"/>
            <w:shd w:val="clear" w:color="auto" w:fill="auto"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34104" w:rsidRPr="00534104" w:rsidTr="00AE6FC1">
        <w:tc>
          <w:tcPr>
            <w:tcW w:w="10456" w:type="dxa"/>
            <w:shd w:val="clear" w:color="auto" w:fill="auto"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  <w:r w:rsidRPr="00534104">
              <w:rPr>
                <w:rFonts w:ascii="Times New Roman" w:hAnsi="Times New Roman"/>
                <w:szCs w:val="24"/>
              </w:rPr>
              <w:t>«Приложение 2 к постановлению</w:t>
            </w:r>
          </w:p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  <w:r w:rsidRPr="00534104">
              <w:rPr>
                <w:rFonts w:ascii="Times New Roman" w:hAnsi="Times New Roman"/>
                <w:szCs w:val="24"/>
              </w:rPr>
              <w:t>Администрации муниципального района</w:t>
            </w:r>
          </w:p>
          <w:p w:rsidR="00534104" w:rsidRPr="00534104" w:rsidRDefault="00534104" w:rsidP="00AE6FC1">
            <w:pPr>
              <w:jc w:val="both"/>
              <w:rPr>
                <w:rFonts w:ascii="Times New Roman" w:hAnsi="Times New Roman"/>
                <w:szCs w:val="24"/>
              </w:rPr>
            </w:pPr>
            <w:r w:rsidRPr="00534104">
              <w:rPr>
                <w:rFonts w:ascii="Times New Roman" w:hAnsi="Times New Roman"/>
                <w:szCs w:val="24"/>
              </w:rPr>
              <w:t>от 30 декабря 2015 года № 882-п</w:t>
            </w:r>
          </w:p>
        </w:tc>
      </w:tr>
    </w:tbl>
    <w:p w:rsidR="00534104" w:rsidRPr="00534104" w:rsidRDefault="00534104" w:rsidP="00534104">
      <w:pPr>
        <w:jc w:val="both"/>
        <w:rPr>
          <w:rFonts w:ascii="Times New Roman" w:hAnsi="Times New Roman"/>
          <w:szCs w:val="24"/>
        </w:rPr>
      </w:pPr>
    </w:p>
    <w:p w:rsidR="00534104" w:rsidRPr="00534104" w:rsidRDefault="00534104" w:rsidP="00534104">
      <w:pPr>
        <w:jc w:val="center"/>
        <w:rPr>
          <w:rFonts w:ascii="Times New Roman" w:hAnsi="Times New Roman"/>
          <w:szCs w:val="24"/>
        </w:rPr>
      </w:pPr>
      <w:bookmarkStart w:id="0" w:name="RANGE!A1:M34"/>
      <w:bookmarkEnd w:id="0"/>
      <w:r w:rsidRPr="00534104">
        <w:rPr>
          <w:rFonts w:ascii="Times New Roman" w:hAnsi="Times New Roman"/>
          <w:szCs w:val="24"/>
        </w:rPr>
        <w:t>Реестр муниципальных маршрутов регулярных перевозок на территории Нововаршавского муниципального района Омской области</w:t>
      </w:r>
    </w:p>
    <w:p w:rsidR="00534104" w:rsidRDefault="00534104" w:rsidP="00534104">
      <w:pPr>
        <w:jc w:val="both"/>
        <w:rPr>
          <w:sz w:val="18"/>
          <w:szCs w:val="18"/>
        </w:rPr>
      </w:pPr>
    </w:p>
    <w:tbl>
      <w:tblPr>
        <w:tblW w:w="159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122"/>
        <w:gridCol w:w="1110"/>
        <w:gridCol w:w="1050"/>
        <w:gridCol w:w="1168"/>
        <w:gridCol w:w="1016"/>
        <w:gridCol w:w="1025"/>
        <w:gridCol w:w="975"/>
        <w:gridCol w:w="943"/>
        <w:gridCol w:w="1029"/>
        <w:gridCol w:w="995"/>
        <w:gridCol w:w="1667"/>
        <w:gridCol w:w="1004"/>
        <w:gridCol w:w="1169"/>
        <w:gridCol w:w="509"/>
      </w:tblGrid>
      <w:tr w:rsidR="00534104" w:rsidRPr="00534104" w:rsidTr="00534104">
        <w:trPr>
          <w:trHeight w:val="3961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Порядковый номер маршрута регулярных перевозок, присвоенный уполномоченным органом исполнительной власти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в виде наименований поселений, в границах которых расположены начальный остановочный пункт и конечный остановочный пункт по данному маршруту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Протяженность маршрута регулярных перевозок, км.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Порядок посадки и высадки пассажиров 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Вид регулярных перевозок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Дата начала осуществления регулярных перевозок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Наименования, места нахождения, ОГРН (для юридического лица), Ф.И.О., место жительства, ОГРН (для индивидуального предпринимателя), идентификационный номер налогоплательщика, адрес электронной почты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Срок действия контракта или срок действия свидетельства об осуществлении перевозок по маршруту регулярных перевозок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Даты вынесения решений об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161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79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101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Нововаршавка-Молодежное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Красный Яр,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Новороссийка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Каразюк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Победа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 (ул. Весна, ул. Красный путь), а/д Нововаршавка-Ермак, Красный Яр (ул. Заводская), а/д Красный Яр-Победа, Победа (ул. Юбилейная, ул. Центральная), а/д Победа-Молодежное, д. Молодежное (ул. Зеленая)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41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102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Нововаршавка-Победа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Красный Яр,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Новороссийка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Каразюк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Красный путь), а/д Нововаршавка-Ермак, Красный Яр (ул. Заводская), а/д Красный Яр-Победа,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Новороссийка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Степная), Победа (ул. Юбилейная, ул. Центральная)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79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103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Нововаршавка-Новоивановка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Изумрудное,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Заречное, </w:t>
            </w:r>
          </w:p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Жар-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Агач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Нововаршавка-Заречное, Изумрудное (ул. Октябрьская, ул. Центральная),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Заречное (ул. Степная, ул. Северная, ул. Новая), заезд в а. Жар-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Агач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Новоивановка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Новоивановская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44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Нововаршавка-Заречное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Изумрудное,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Рассохино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Нововаршавка-Заречное, Изумрудное (ул. Октябрьская, ул. Центральная),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Заречное (ул. Степная, ул. Северная, ул. Новая)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828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105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Нововаршавка-Бобринка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Бобринка (ул. Ленина)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34/38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маршрута), Постановление Администрация Нововаршавского муниципального района Омской области от 14 октября 2022 года № 629-п (изменение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44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106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Нововаршавка-Богдановка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Красный Яр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Красный путь), а/д Нововаршавка-Ермак, Красный Яр (ул. Заводская), а/д Красный Яр-Богдановка, Богдановка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Новосельская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44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107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339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Славянка,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Нетесово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с. Славянка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а/д Нововаршавка-Омск, ст.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Вокзальная),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Нетесово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Степная, ул. Гагарина),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Вокзальная),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</w:t>
            </w:r>
            <w:proofErr w:type="gramStart"/>
            <w:r w:rsidRPr="00534104">
              <w:rPr>
                <w:rFonts w:ascii="Times New Roman" w:hAnsi="Times New Roman"/>
                <w:sz w:val="12"/>
                <w:szCs w:val="12"/>
              </w:rPr>
              <w:t>) ,</w:t>
            </w:r>
            <w:proofErr w:type="gram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а/д Омск-Нововаршавка,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68/15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8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111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Нововаршавка-Славянка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Славянка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016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18/23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8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112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Нетесово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Славянка,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Славянка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Вокзальная),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Нетесово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ул. Степная)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8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114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Нововаршавка-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Славянка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Русановка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Славянка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Рассохина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Любовский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Вокзальная)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29/24,5/34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38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116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Нововаршавка-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Транспортная или ул. Зеленая, ул. Есенина), а/д Нововаршавка-Омск,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Любовка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Вокзальная)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445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117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Новороссийка</w:t>
            </w:r>
            <w:proofErr w:type="spellEnd"/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Красный Яр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Красный путь), а/д Нововаршавка-Ермак, Красный Яр (ул. Заводская), а/д Красный Яр-Победа,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Новороссийка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Центральная, ул. Юбилейная)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969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Нововаршавка-ст. Иртышская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Сибирское, Александровка, Береговое,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Ермак,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 (ул. Весна, ул. Красный путь), а/д "Нововаршавка-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"-ст. Иртышская, Сибирское (ул. Школьная), Александровка (ул. Центральная), Береговое (ул. Победы),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а/д "Нововаршавка-Ермак"), Ермак (ул. Мира),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а/д "Нововаршавка-Ермак"), ст. Иртышская (ул. Мира)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2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  <w:bookmarkStart w:id="1" w:name="_GoBack"/>
            <w:bookmarkEnd w:id="1"/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2756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Нововаршавка-Черлакское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Дробышево, Моисеевка, Платоновка,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Кызылтан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Пичугино</w:t>
            </w:r>
            <w:proofErr w:type="spellEnd"/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Нововаршавка (ул. Весна, ул. Красный путь), а/д "Нововаршавка-Дробышево-Черлакское", Дробышево (ул. Центральная), Моисеевка (ул. Нижняя), Платоновка (ул.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Люкота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Сагандыкова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/),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Кызылтан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Пичугино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Центральная), Черлакское (ул. Центральная)</w:t>
            </w:r>
          </w:p>
        </w:tc>
        <w:tc>
          <w:tcPr>
            <w:tcW w:w="1016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62/74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3249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Нововаршавка-Дачи</w:t>
            </w:r>
          </w:p>
        </w:tc>
        <w:tc>
          <w:tcPr>
            <w:tcW w:w="1050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Сибирское, Александровка, Береговое,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Ермак,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ст. Иртышская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 (ул. Весна, ул. Красный путь), а/д "Нововаршавка-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"-ст. Иртышская, Сибирское (ул. Школьная), Александровка (ул. Центральная), Береговое (ул. Победы),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а/д "Нововаршавка-Ермак"), Ермак (ул. Мира),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а/д "Нововаршавка-Ермак"), ст. Иртышская (ул. Мира), Дачи (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жд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/платформа 172 км)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3111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Караман</w:t>
            </w:r>
            <w:proofErr w:type="spellEnd"/>
          </w:p>
        </w:tc>
        <w:tc>
          <w:tcPr>
            <w:tcW w:w="1050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Сибирское, Александровка, Береговое,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Ермак,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ст. Иртышская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Нововаршавка (ул. Весна, ул. Красный путь), а/д "Нововаршавка-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"-ст. Иртышская, Сибирское (ул. Школьная), Александровка (ул. Центральная), Береговое (ул. Победы),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а/д "Нововаршавка-Ермак"), Ермак (ул. Мира),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(аул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а/д "Нововаршавка-Ермак"), ст. Иртышская (ул. Мира),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Караман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Школьная)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75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1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АО "ОМСКОБЛАВТОТРАНС", 644119, г. Омск, ул. Комарова, д. 2, 646830, Омская область, Нововаршавский район,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р.п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. Нововаршавка, ул. Пролетарская, д. 7. ОГРН 1145543032843, ИНН 5507249611, info@omskoblauto.ru  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с 01.03.2025 по 31.03.2025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34104" w:rsidRPr="00534104" w:rsidTr="00534104">
        <w:trPr>
          <w:trHeight w:val="3090"/>
        </w:trPr>
        <w:tc>
          <w:tcPr>
            <w:tcW w:w="113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122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1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Большегривское-Ермак</w:t>
            </w:r>
          </w:p>
        </w:tc>
        <w:tc>
          <w:tcPr>
            <w:tcW w:w="1050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, Ермак,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>, Береговое, Александровка</w:t>
            </w:r>
          </w:p>
        </w:tc>
        <w:tc>
          <w:tcPr>
            <w:tcW w:w="1168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 xml:space="preserve">Большегривское (ул. Ленина, ул. Мира, ул. Строительная),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Победы, ул. Центральная), Ермак (ул. Мира), </w:t>
            </w:r>
            <w:proofErr w:type="spellStart"/>
            <w:r w:rsidRPr="00534104">
              <w:rPr>
                <w:rFonts w:ascii="Times New Roman" w:hAnsi="Times New Roman"/>
                <w:sz w:val="12"/>
                <w:szCs w:val="12"/>
              </w:rPr>
              <w:t>Алкул</w:t>
            </w:r>
            <w:proofErr w:type="spellEnd"/>
            <w:r w:rsidRPr="00534104">
              <w:rPr>
                <w:rFonts w:ascii="Times New Roman" w:hAnsi="Times New Roman"/>
                <w:sz w:val="12"/>
                <w:szCs w:val="12"/>
              </w:rPr>
              <w:t xml:space="preserve"> (ул. Победы, ул. Центральная), Береговое (ул. Победы), Александровка (ул. Центральная), Большегривское (ул. Ленина, ул. Мира, ул. Строительная)</w:t>
            </w:r>
          </w:p>
        </w:tc>
        <w:tc>
          <w:tcPr>
            <w:tcW w:w="1016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10/26</w:t>
            </w:r>
          </w:p>
        </w:tc>
        <w:tc>
          <w:tcPr>
            <w:tcW w:w="102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в установленных остановочных пунктах или, если это не запрещено Федеральным законом,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975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регулярные перевозки по не регулируемым тарифам</w:t>
            </w:r>
          </w:p>
        </w:tc>
        <w:tc>
          <w:tcPr>
            <w:tcW w:w="943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автобус, малый, 2 ед.</w:t>
            </w:r>
          </w:p>
        </w:tc>
        <w:tc>
          <w:tcPr>
            <w:tcW w:w="1029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1 ед.-н/у</w:t>
            </w:r>
          </w:p>
        </w:tc>
        <w:tc>
          <w:tcPr>
            <w:tcW w:w="995" w:type="dxa"/>
            <w:shd w:val="clear" w:color="000000" w:fill="FFFFFF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30.12.2015</w:t>
            </w:r>
          </w:p>
        </w:tc>
        <w:tc>
          <w:tcPr>
            <w:tcW w:w="1667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004" w:type="dxa"/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534104" w:rsidRPr="00534104" w:rsidRDefault="00534104" w:rsidP="00AE6FC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534104">
              <w:rPr>
                <w:rFonts w:ascii="Times New Roman" w:hAnsi="Times New Roman"/>
                <w:sz w:val="12"/>
                <w:szCs w:val="12"/>
              </w:rPr>
              <w:t>Постановление Администрация Нововаршавского муниципального района Омской области от 30 декабря 2015 года № 882-п (установление маршрута)</w:t>
            </w:r>
          </w:p>
        </w:tc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34104" w:rsidRPr="00534104" w:rsidRDefault="00534104" w:rsidP="00AE6FC1">
            <w:pPr>
              <w:rPr>
                <w:rFonts w:ascii="Times New Roman" w:hAnsi="Times New Roman"/>
                <w:sz w:val="28"/>
                <w:szCs w:val="28"/>
              </w:rPr>
            </w:pPr>
            <w:r w:rsidRPr="00534104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534104" w:rsidRPr="0066498E" w:rsidRDefault="00534104" w:rsidP="00534104">
      <w:pPr>
        <w:jc w:val="both"/>
        <w:rPr>
          <w:sz w:val="18"/>
          <w:szCs w:val="18"/>
        </w:rPr>
      </w:pPr>
    </w:p>
    <w:p w:rsidR="00534104" w:rsidRPr="00534104" w:rsidRDefault="00534104">
      <w:pPr>
        <w:jc w:val="both"/>
        <w:rPr>
          <w:rFonts w:ascii="Times New Roman" w:hAnsi="Times New Roman"/>
          <w:sz w:val="26"/>
        </w:rPr>
      </w:pPr>
    </w:p>
    <w:sectPr w:rsidR="00534104" w:rsidRPr="00534104" w:rsidSect="002D2F9A">
      <w:pgSz w:w="16838" w:h="11906" w:orient="landscape"/>
      <w:pgMar w:top="851" w:right="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83" w:rsidRDefault="00B26883">
      <w:r>
        <w:separator/>
      </w:r>
    </w:p>
  </w:endnote>
  <w:endnote w:type="continuationSeparator" w:id="0">
    <w:p w:rsidR="00B26883" w:rsidRDefault="00B2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83" w:rsidRDefault="00B26883">
      <w:r>
        <w:separator/>
      </w:r>
    </w:p>
  </w:footnote>
  <w:footnote w:type="continuationSeparator" w:id="0">
    <w:p w:rsidR="00B26883" w:rsidRDefault="00B26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10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34104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26883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1A00-8928-427B-A108-5BEC1A4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8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2025-03-18T06:34:00Z</dcterms:created>
  <dcterms:modified xsi:type="dcterms:W3CDTF">2025-03-18T06:39:00Z</dcterms:modified>
</cp:coreProperties>
</file>