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463784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7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23D4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03.12.2024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23D4A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715-п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23D4A" w:rsidRPr="00F23D4A" w:rsidRDefault="00F23D4A" w:rsidP="00F23D4A">
      <w:pPr>
        <w:jc w:val="center"/>
        <w:rPr>
          <w:rFonts w:ascii="Times New Roman" w:hAnsi="Times New Roman"/>
          <w:szCs w:val="24"/>
        </w:rPr>
      </w:pPr>
      <w:r w:rsidRPr="00F23D4A">
        <w:rPr>
          <w:rFonts w:ascii="Times New Roman" w:hAnsi="Times New Roman"/>
          <w:szCs w:val="24"/>
        </w:rPr>
        <w:t>Об утверждении Плана противодействия коррупции в Нововаршавском муниципальном районе Омской области на 2025 — 2028 годы</w:t>
      </w:r>
    </w:p>
    <w:p w:rsidR="00F23D4A" w:rsidRPr="00F23D4A" w:rsidRDefault="00F23D4A" w:rsidP="00F23D4A">
      <w:pPr>
        <w:jc w:val="center"/>
        <w:rPr>
          <w:rFonts w:ascii="Times New Roman" w:hAnsi="Times New Roman"/>
          <w:szCs w:val="24"/>
        </w:rPr>
      </w:pPr>
    </w:p>
    <w:p w:rsidR="00F23D4A" w:rsidRPr="00F23D4A" w:rsidRDefault="00F23D4A" w:rsidP="00F23D4A">
      <w:pPr>
        <w:ind w:firstLine="567"/>
        <w:jc w:val="both"/>
        <w:rPr>
          <w:rFonts w:ascii="Times New Roman" w:hAnsi="Times New Roman"/>
          <w:szCs w:val="24"/>
        </w:rPr>
      </w:pPr>
      <w:r w:rsidRPr="00F23D4A">
        <w:rPr>
          <w:rFonts w:ascii="Times New Roman" w:hAnsi="Times New Roman"/>
          <w:szCs w:val="24"/>
        </w:rPr>
        <w:t>На основании Федерального закона от 25 декабря 2008 года № 273-ФЗ «О противодействии коррупции», Закона Омской области от</w:t>
      </w:r>
      <w:r>
        <w:rPr>
          <w:rFonts w:ascii="Times New Roman" w:hAnsi="Times New Roman"/>
          <w:szCs w:val="24"/>
        </w:rPr>
        <w:t xml:space="preserve"> 29 июня 2017 года </w:t>
      </w:r>
      <w:r w:rsidRPr="00F23D4A">
        <w:rPr>
          <w:rFonts w:ascii="Times New Roman" w:hAnsi="Times New Roman"/>
          <w:szCs w:val="24"/>
        </w:rPr>
        <w:t>№ 1983-ОЗ «О противодействии коррупции в Омской области», руководствуясь Уставом Нововаршавского муниципального района Омской области, ПОСТАНОВЛЯЮ:</w:t>
      </w:r>
    </w:p>
    <w:p w:rsidR="00F23D4A" w:rsidRPr="00F23D4A" w:rsidRDefault="00F23D4A" w:rsidP="00F23D4A">
      <w:pPr>
        <w:ind w:firstLine="709"/>
        <w:jc w:val="both"/>
        <w:rPr>
          <w:rFonts w:ascii="Times New Roman" w:hAnsi="Times New Roman"/>
          <w:szCs w:val="24"/>
        </w:rPr>
      </w:pPr>
      <w:bookmarkStart w:id="0" w:name="sub_1"/>
      <w:r w:rsidRPr="00F23D4A">
        <w:rPr>
          <w:rFonts w:ascii="Times New Roman" w:hAnsi="Times New Roman"/>
          <w:szCs w:val="24"/>
        </w:rPr>
        <w:t>1. Утвердить прилагаемый План противодействия коррупции в Нововаршавском муниципальном районе Омской области на 2025-2028 годы (далее - План).</w:t>
      </w:r>
    </w:p>
    <w:p w:rsidR="00F23D4A" w:rsidRPr="00F23D4A" w:rsidRDefault="00F23D4A" w:rsidP="00F23D4A">
      <w:pPr>
        <w:ind w:firstLine="709"/>
        <w:jc w:val="both"/>
        <w:rPr>
          <w:rFonts w:ascii="Times New Roman" w:hAnsi="Times New Roman"/>
          <w:szCs w:val="24"/>
        </w:rPr>
      </w:pPr>
      <w:r w:rsidRPr="00F23D4A">
        <w:rPr>
          <w:rFonts w:ascii="Times New Roman" w:hAnsi="Times New Roman"/>
          <w:szCs w:val="24"/>
        </w:rPr>
        <w:t xml:space="preserve">2. Рекомендовать главам городских и сельских поселений разработать и утвердить муниципальными правовыми актами планы противодействия коррупции на 2025-2028 годы, а также обеспечить контроль за их исполнением.  </w:t>
      </w:r>
    </w:p>
    <w:p w:rsidR="00F23D4A" w:rsidRPr="00F23D4A" w:rsidRDefault="00F23D4A" w:rsidP="00F23D4A">
      <w:pPr>
        <w:ind w:firstLine="567"/>
        <w:jc w:val="both"/>
        <w:rPr>
          <w:rFonts w:ascii="Times New Roman" w:hAnsi="Times New Roman"/>
          <w:szCs w:val="24"/>
        </w:rPr>
      </w:pPr>
      <w:bookmarkStart w:id="1" w:name="sub_3"/>
      <w:bookmarkEnd w:id="0"/>
      <w:r w:rsidRPr="00F23D4A">
        <w:rPr>
          <w:rFonts w:ascii="Times New Roman" w:hAnsi="Times New Roman"/>
          <w:szCs w:val="24"/>
        </w:rPr>
        <w:t xml:space="preserve"> 3. Главному специалисту Аппарата Главы муниципального района Ворониной Т.А. довести настоящее постановления до руководителей структурных подразделений, ответственных за исполнение мероприятий Плана.</w:t>
      </w:r>
    </w:p>
    <w:p w:rsidR="00F23D4A" w:rsidRPr="00F23D4A" w:rsidRDefault="00F23D4A" w:rsidP="00F23D4A">
      <w:pPr>
        <w:ind w:firstLine="708"/>
        <w:jc w:val="both"/>
        <w:rPr>
          <w:rFonts w:ascii="Times New Roman" w:hAnsi="Times New Roman"/>
          <w:szCs w:val="24"/>
        </w:rPr>
      </w:pPr>
      <w:bookmarkStart w:id="2" w:name="sub_4"/>
      <w:bookmarkEnd w:id="1"/>
      <w:r w:rsidRPr="00F23D4A">
        <w:rPr>
          <w:rFonts w:ascii="Times New Roman" w:hAnsi="Times New Roman"/>
          <w:szCs w:val="24"/>
        </w:rPr>
        <w:t xml:space="preserve">4. </w:t>
      </w:r>
      <w:bookmarkEnd w:id="2"/>
      <w:r w:rsidRPr="00F23D4A">
        <w:rPr>
          <w:rFonts w:ascii="Times New Roman" w:hAnsi="Times New Roman"/>
          <w:szCs w:val="24"/>
        </w:rPr>
        <w:t>Настоящее постановление опубликовать в печатном средстве массовой информации «Вестник Нововаршавского района» и обеспечить его размещение на официальном сайте Нововаршавского муниципального района Омской области.</w:t>
      </w:r>
    </w:p>
    <w:p w:rsidR="00F23D4A" w:rsidRPr="00F23D4A" w:rsidRDefault="00F23D4A" w:rsidP="00F23D4A">
      <w:pPr>
        <w:ind w:firstLine="567"/>
        <w:jc w:val="both"/>
        <w:rPr>
          <w:rFonts w:ascii="Times New Roman" w:hAnsi="Times New Roman"/>
          <w:szCs w:val="24"/>
        </w:rPr>
      </w:pPr>
      <w:r w:rsidRPr="00F23D4A">
        <w:rPr>
          <w:rFonts w:ascii="Times New Roman" w:hAnsi="Times New Roman"/>
          <w:szCs w:val="24"/>
        </w:rPr>
        <w:t>5. Контроль за исполнением настоящего постановления оставляю за собой.</w:t>
      </w:r>
    </w:p>
    <w:p w:rsidR="00F23D4A" w:rsidRPr="00F23D4A" w:rsidRDefault="00F23D4A" w:rsidP="00F23D4A">
      <w:pPr>
        <w:widowControl w:val="0"/>
        <w:jc w:val="both"/>
        <w:rPr>
          <w:rFonts w:ascii="Times New Roman" w:hAnsi="Times New Roman"/>
          <w:szCs w:val="24"/>
        </w:rPr>
      </w:pPr>
    </w:p>
    <w:p w:rsidR="00F23D4A" w:rsidRPr="00F23D4A" w:rsidRDefault="00F23D4A" w:rsidP="00F23D4A">
      <w:pPr>
        <w:widowControl w:val="0"/>
        <w:jc w:val="both"/>
        <w:rPr>
          <w:rFonts w:ascii="Times New Roman" w:hAnsi="Times New Roman"/>
          <w:szCs w:val="24"/>
        </w:rPr>
      </w:pPr>
    </w:p>
    <w:p w:rsidR="00F23D4A" w:rsidRPr="00F23D4A" w:rsidRDefault="00F23D4A" w:rsidP="00F23D4A">
      <w:pPr>
        <w:widowControl w:val="0"/>
        <w:jc w:val="both"/>
        <w:rPr>
          <w:rFonts w:ascii="Times New Roman" w:hAnsi="Times New Roman"/>
          <w:szCs w:val="24"/>
        </w:rPr>
      </w:pPr>
      <w:r w:rsidRPr="00F23D4A">
        <w:rPr>
          <w:rFonts w:ascii="Times New Roman" w:hAnsi="Times New Roman"/>
          <w:szCs w:val="24"/>
        </w:rPr>
        <w:t xml:space="preserve">Глава Нововаршавского </w:t>
      </w:r>
    </w:p>
    <w:p w:rsidR="00F23D4A" w:rsidRPr="00F23D4A" w:rsidRDefault="00F23D4A" w:rsidP="00F23D4A">
      <w:pPr>
        <w:widowControl w:val="0"/>
        <w:jc w:val="both"/>
        <w:rPr>
          <w:rFonts w:ascii="Times New Roman" w:hAnsi="Times New Roman"/>
          <w:szCs w:val="24"/>
        </w:rPr>
      </w:pPr>
      <w:r w:rsidRPr="00F23D4A">
        <w:rPr>
          <w:rFonts w:ascii="Times New Roman" w:hAnsi="Times New Roman"/>
          <w:szCs w:val="24"/>
        </w:rPr>
        <w:t>муниципального района Омской области</w:t>
      </w:r>
      <w:r w:rsidRPr="00F23D4A">
        <w:rPr>
          <w:rFonts w:ascii="Times New Roman" w:hAnsi="Times New Roman"/>
          <w:szCs w:val="24"/>
        </w:rPr>
        <w:tab/>
        <w:t xml:space="preserve">                                    </w:t>
      </w:r>
      <w:r>
        <w:rPr>
          <w:rFonts w:ascii="Times New Roman" w:hAnsi="Times New Roman"/>
          <w:szCs w:val="24"/>
        </w:rPr>
        <w:t xml:space="preserve">                         </w:t>
      </w:r>
      <w:r w:rsidRPr="00F23D4A">
        <w:rPr>
          <w:rFonts w:ascii="Times New Roman" w:hAnsi="Times New Roman"/>
          <w:szCs w:val="24"/>
        </w:rPr>
        <w:t xml:space="preserve">              В.А. Шефер</w:t>
      </w:r>
    </w:p>
    <w:p w:rsidR="006E1FC6" w:rsidRPr="00F23D4A" w:rsidRDefault="006E1FC6" w:rsidP="006E1FC6">
      <w:pPr>
        <w:jc w:val="center"/>
        <w:rPr>
          <w:rFonts w:ascii="Times New Roman" w:hAnsi="Times New Roman"/>
          <w:szCs w:val="24"/>
        </w:rPr>
      </w:pPr>
    </w:p>
    <w:p w:rsidR="006E1FC6" w:rsidRPr="00F23D4A" w:rsidRDefault="006E1FC6">
      <w:pPr>
        <w:jc w:val="both"/>
        <w:rPr>
          <w:rFonts w:ascii="Times New Roman" w:hAnsi="Times New Roman"/>
          <w:sz w:val="26"/>
        </w:rPr>
      </w:pPr>
    </w:p>
    <w:p w:rsidR="00F23D4A" w:rsidRDefault="00F23D4A">
      <w:pPr>
        <w:jc w:val="both"/>
        <w:rPr>
          <w:rFonts w:ascii="Times New Roman" w:hAnsi="Times New Roman"/>
          <w:sz w:val="26"/>
        </w:rPr>
        <w:sectPr w:rsidR="00F23D4A" w:rsidSect="00E319C4">
          <w:headerReference w:type="default" r:id="rId8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F23D4A" w:rsidRPr="00F23D4A" w:rsidRDefault="00F23D4A" w:rsidP="00F23D4A">
      <w:pPr>
        <w:pStyle w:val="a5"/>
        <w:spacing w:before="76" w:line="235" w:lineRule="auto"/>
        <w:ind w:left="11624" w:right="193"/>
        <w:jc w:val="both"/>
        <w:rPr>
          <w:sz w:val="24"/>
          <w:szCs w:val="24"/>
        </w:rPr>
      </w:pPr>
      <w:bookmarkStart w:id="3" w:name="3"/>
      <w:bookmarkEnd w:id="3"/>
      <w:r w:rsidRPr="00F23D4A">
        <w:rPr>
          <w:spacing w:val="-2"/>
          <w:sz w:val="24"/>
          <w:szCs w:val="24"/>
        </w:rPr>
        <w:lastRenderedPageBreak/>
        <w:t xml:space="preserve">Приложение </w:t>
      </w:r>
      <w:r w:rsidRPr="00F23D4A">
        <w:rPr>
          <w:sz w:val="24"/>
          <w:szCs w:val="24"/>
        </w:rPr>
        <w:t>к постановлению Администрации Нововаршавского муниципального района Омской област</w:t>
      </w:r>
      <w:r>
        <w:rPr>
          <w:sz w:val="24"/>
          <w:szCs w:val="24"/>
        </w:rPr>
        <w:t>и от 03.12.2024 № 715-п</w:t>
      </w:r>
    </w:p>
    <w:p w:rsidR="00F23D4A" w:rsidRPr="00F23D4A" w:rsidRDefault="00F23D4A" w:rsidP="00F23D4A">
      <w:pPr>
        <w:spacing w:line="363" w:lineRule="exact"/>
        <w:ind w:left="1626" w:right="1241"/>
        <w:jc w:val="center"/>
        <w:rPr>
          <w:rFonts w:ascii="Times New Roman" w:hAnsi="Times New Roman"/>
          <w:szCs w:val="24"/>
        </w:rPr>
      </w:pPr>
      <w:r w:rsidRPr="00F23D4A">
        <w:rPr>
          <w:rFonts w:ascii="Times New Roman" w:hAnsi="Times New Roman"/>
          <w:spacing w:val="-4"/>
          <w:szCs w:val="24"/>
        </w:rPr>
        <w:t>ПЛАН</w:t>
      </w:r>
    </w:p>
    <w:p w:rsidR="00F23D4A" w:rsidRPr="00F23D4A" w:rsidRDefault="00F23D4A" w:rsidP="00F23D4A">
      <w:pPr>
        <w:pStyle w:val="a5"/>
        <w:ind w:left="1620" w:right="1241"/>
        <w:jc w:val="center"/>
        <w:rPr>
          <w:sz w:val="24"/>
          <w:szCs w:val="24"/>
        </w:rPr>
      </w:pPr>
      <w:r w:rsidRPr="00F23D4A">
        <w:rPr>
          <w:sz w:val="24"/>
          <w:szCs w:val="24"/>
        </w:rPr>
        <w:t>противодействия</w:t>
      </w:r>
      <w:r w:rsidRPr="00F23D4A">
        <w:rPr>
          <w:spacing w:val="-9"/>
          <w:sz w:val="24"/>
          <w:szCs w:val="24"/>
        </w:rPr>
        <w:t xml:space="preserve"> </w:t>
      </w:r>
      <w:r w:rsidRPr="00F23D4A">
        <w:rPr>
          <w:sz w:val="24"/>
          <w:szCs w:val="24"/>
        </w:rPr>
        <w:t>коррупции в</w:t>
      </w:r>
      <w:r w:rsidRPr="00F23D4A">
        <w:rPr>
          <w:spacing w:val="-9"/>
          <w:sz w:val="24"/>
          <w:szCs w:val="24"/>
        </w:rPr>
        <w:t xml:space="preserve"> Нововаршавском муниципальном районе Омской области</w:t>
      </w:r>
      <w:r w:rsidRPr="00F23D4A">
        <w:rPr>
          <w:sz w:val="24"/>
          <w:szCs w:val="24"/>
        </w:rPr>
        <w:t xml:space="preserve"> </w:t>
      </w:r>
    </w:p>
    <w:p w:rsidR="00F23D4A" w:rsidRPr="00F23D4A" w:rsidRDefault="00F23D4A" w:rsidP="00F23D4A">
      <w:pPr>
        <w:pStyle w:val="a5"/>
        <w:ind w:left="1620" w:right="1241"/>
        <w:jc w:val="center"/>
        <w:rPr>
          <w:sz w:val="24"/>
          <w:szCs w:val="24"/>
        </w:rPr>
      </w:pPr>
      <w:r w:rsidRPr="00F23D4A">
        <w:rPr>
          <w:sz w:val="24"/>
          <w:szCs w:val="24"/>
        </w:rPr>
        <w:t>на</w:t>
      </w:r>
      <w:r w:rsidRPr="00F23D4A">
        <w:rPr>
          <w:spacing w:val="-17"/>
          <w:sz w:val="24"/>
          <w:szCs w:val="24"/>
        </w:rPr>
        <w:t xml:space="preserve"> </w:t>
      </w:r>
      <w:r w:rsidRPr="00F23D4A">
        <w:rPr>
          <w:sz w:val="24"/>
          <w:szCs w:val="24"/>
        </w:rPr>
        <w:t>2025</w:t>
      </w:r>
      <w:r w:rsidRPr="00F23D4A">
        <w:rPr>
          <w:spacing w:val="-10"/>
          <w:sz w:val="24"/>
          <w:szCs w:val="24"/>
        </w:rPr>
        <w:t xml:space="preserve"> </w:t>
      </w:r>
      <w:r w:rsidRPr="00F23D4A">
        <w:rPr>
          <w:w w:val="90"/>
          <w:sz w:val="24"/>
          <w:szCs w:val="24"/>
        </w:rPr>
        <w:t>—</w:t>
      </w:r>
      <w:r w:rsidRPr="00F23D4A">
        <w:rPr>
          <w:spacing w:val="-11"/>
          <w:w w:val="90"/>
          <w:sz w:val="24"/>
          <w:szCs w:val="24"/>
        </w:rPr>
        <w:t xml:space="preserve"> </w:t>
      </w:r>
      <w:r w:rsidRPr="00F23D4A">
        <w:rPr>
          <w:sz w:val="24"/>
          <w:szCs w:val="24"/>
        </w:rPr>
        <w:t>2028</w:t>
      </w:r>
      <w:r w:rsidRPr="00F23D4A">
        <w:rPr>
          <w:spacing w:val="-11"/>
          <w:sz w:val="24"/>
          <w:szCs w:val="24"/>
        </w:rPr>
        <w:t xml:space="preserve"> </w:t>
      </w:r>
      <w:r w:rsidRPr="00F23D4A">
        <w:rPr>
          <w:spacing w:val="-4"/>
          <w:sz w:val="24"/>
          <w:szCs w:val="24"/>
        </w:rPr>
        <w:t>годы</w:t>
      </w:r>
    </w:p>
    <w:p w:rsidR="00F23D4A" w:rsidRDefault="00F23D4A" w:rsidP="00F23D4A">
      <w:pPr>
        <w:pStyle w:val="a5"/>
        <w:spacing w:before="89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8363"/>
        <w:gridCol w:w="9"/>
        <w:gridCol w:w="2401"/>
        <w:gridCol w:w="9"/>
        <w:gridCol w:w="3251"/>
        <w:gridCol w:w="17"/>
      </w:tblGrid>
      <w:tr w:rsidR="00371C42" w:rsidRPr="00371C42" w:rsidTr="007D3455">
        <w:trPr>
          <w:trHeight w:val="656"/>
        </w:trPr>
        <w:tc>
          <w:tcPr>
            <w:tcW w:w="709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№</w:t>
            </w:r>
          </w:p>
          <w:p w:rsidR="00F23D4A" w:rsidRPr="00371C42" w:rsidRDefault="00472D5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pict>
                <v:shape id="Image 8" o:spid="_x0000_i1026" type="#_x0000_t75" style="width:18pt;height:9.75pt;visibility:visible;mso-wrap-style:square">
                  <v:imagedata r:id="rId9" o:title=""/>
                  <o:lock v:ext="edit" aspectratio="f"/>
                </v:shape>
              </w:pict>
            </w: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Наименование мероприятия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Срок исполнения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Исполнители</w:t>
            </w:r>
          </w:p>
        </w:tc>
      </w:tr>
      <w:tr w:rsidR="00371C42" w:rsidRPr="00371C42" w:rsidTr="007D3455">
        <w:trPr>
          <w:trHeight w:val="680"/>
        </w:trPr>
        <w:tc>
          <w:tcPr>
            <w:tcW w:w="14759" w:type="dxa"/>
            <w:gridSpan w:val="7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І. Повышение эффективности и совершенствование деятельности органов местного самоуправления по противодействию коррупции</w:t>
            </w:r>
          </w:p>
        </w:tc>
      </w:tr>
      <w:tr w:rsidR="00371C42" w:rsidRPr="00371C42" w:rsidTr="007D3455">
        <w:trPr>
          <w:trHeight w:val="1667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Реализация комплекса антикоррупционных мер в соответствии с настоящим Планом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472D5A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472D5A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472D5A" w:rsidRDefault="00F23D4A" w:rsidP="00472D5A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472D5A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Структурные подразделения Администрации Нововаршавского муниципального района, Главы городских и сельских поселений</w:t>
            </w:r>
          </w:p>
        </w:tc>
      </w:tr>
      <w:tr w:rsidR="00A64F9E" w:rsidRPr="00371C42" w:rsidTr="007D3455">
        <w:trPr>
          <w:trHeight w:val="2258"/>
        </w:trPr>
        <w:tc>
          <w:tcPr>
            <w:tcW w:w="709" w:type="dxa"/>
            <w:shd w:val="clear" w:color="auto" w:fill="auto"/>
          </w:tcPr>
          <w:p w:rsidR="00A64F9E" w:rsidRPr="007D3455" w:rsidRDefault="00A64F9E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A64F9E" w:rsidRPr="00371C42" w:rsidRDefault="00A64F9E" w:rsidP="007D3455">
            <w:pPr>
              <w:widowControl w:val="0"/>
              <w:ind w:left="142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Осуществление  оценки  коррупционных  рисков,  возникающих  при реализации полномочий органов местного самоуправления, в целях минимизации коррупционных рисков или их устранения в конкретных управленческих процессах и внесение на основании ее результатов изменений в перечень коррупционно опасных функций соответствующего органа, перечень должностей муниципальной службы, исполнение должностных обязанностей по которым предусматривает осуществление коррупционно опасных функций данного органа, перечень должностей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муниципальной службы,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перечень должностей муниципальной службы, утвержденный в соответствии со статьей 12 Федерального закона «О противодействии коррупции»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64F9E" w:rsidRPr="00371C42" w:rsidRDefault="00A64F9E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</w:t>
            </w:r>
          </w:p>
          <w:p w:rsidR="00A64F9E" w:rsidRPr="00371C42" w:rsidRDefault="00A64F9E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в полугодие, до последнего числа последнего месяца отчетного периода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A64F9E" w:rsidRPr="00371C42" w:rsidRDefault="00A64F9E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Структурные подразделения Администрации Нововаршавского муниципального района, Главы городских и сельских поселений</w:t>
            </w:r>
          </w:p>
        </w:tc>
      </w:tr>
      <w:tr w:rsidR="00371C42" w:rsidRPr="00371C42" w:rsidTr="007D3455">
        <w:trPr>
          <w:trHeight w:val="1192"/>
        </w:trPr>
        <w:tc>
          <w:tcPr>
            <w:tcW w:w="709" w:type="dxa"/>
            <w:shd w:val="clear" w:color="auto" w:fill="auto"/>
          </w:tcPr>
          <w:p w:rsidR="00F23D4A" w:rsidRPr="00A64F9E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4" w:name="4"/>
            <w:bookmarkEnd w:id="4"/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Актуализация сведений, содержащихся в анкетах, представляемых при назначении на должности муниципальной службы, о родственниках и свойственниках лиц, замещающих должности муниципальной службы в целях выявления возможного конфликта интересов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 в год,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Аппарат главы муниципального района, главы городских и сельских поселений</w:t>
            </w:r>
          </w:p>
        </w:tc>
      </w:tr>
      <w:tr w:rsidR="00371C42" w:rsidRPr="00371C42" w:rsidTr="007D3455">
        <w:trPr>
          <w:trHeight w:val="1421"/>
        </w:trPr>
        <w:tc>
          <w:tcPr>
            <w:tcW w:w="709" w:type="dxa"/>
            <w:shd w:val="clear" w:color="auto" w:fill="auto"/>
          </w:tcPr>
          <w:p w:rsidR="00F23D4A" w:rsidRPr="00A64F9E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Проведение 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>в пределах компетенции мониторинга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 публикаций в средствах массовой информации о деяниях, содержащих признаки составов коррупционных правонарушений, совершенных должностными лицами органов местного самоуправления, муниципальных учреждений, муниципальных унитарных предприятий Нововаршавского района, а также организация проверки данной информации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Ежеквартально,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Аппарат главы муниципального района,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главы городских и сельских поселений</w:t>
            </w:r>
          </w:p>
        </w:tc>
      </w:tr>
      <w:tr w:rsidR="00371C42" w:rsidRPr="00371C42" w:rsidTr="007D3455">
        <w:trPr>
          <w:trHeight w:val="2012"/>
        </w:trPr>
        <w:tc>
          <w:tcPr>
            <w:tcW w:w="709" w:type="dxa"/>
            <w:shd w:val="clear" w:color="auto" w:fill="auto"/>
          </w:tcPr>
          <w:p w:rsidR="00F23D4A" w:rsidRPr="00A64F9E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Обобщение сведений о количестве муниципальных служащих, привлеченных к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а также виде примененного дисциплинарного взыскания в целях направления в Министерство внутренней политики Омской области и размещения на официальных сайтах органов власти в информационно-телекоммуникационной сети «Интернет»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Ежегодно,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до 15 февраля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371C42" w:rsidRPr="00371C42" w:rsidTr="007D3455">
        <w:trPr>
          <w:trHeight w:val="410"/>
        </w:trPr>
        <w:tc>
          <w:tcPr>
            <w:tcW w:w="14759" w:type="dxa"/>
            <w:gridSpan w:val="7"/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II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. Обеспечение законности и эффективности использования бюджетных средств</w:t>
            </w:r>
          </w:p>
        </w:tc>
      </w:tr>
      <w:tr w:rsidR="00371C42" w:rsidRPr="00371C42" w:rsidTr="007D3455">
        <w:trPr>
          <w:trHeight w:val="1597"/>
        </w:trPr>
        <w:tc>
          <w:tcPr>
            <w:tcW w:w="709" w:type="dxa"/>
            <w:shd w:val="clear" w:color="auto" w:fill="auto"/>
          </w:tcPr>
          <w:p w:rsidR="00F23D4A" w:rsidRPr="005D32A1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AF14ED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Осуществление в 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с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оответствии с законодательством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 внутреннего государственного финансового контроля,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6A1CCE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6A1CCE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6A1CCE" w:rsidRDefault="00F23D4A" w:rsidP="006A1CCE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6A1CCE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Отдел закупок Администрации Нововаршавского муниципального района, Комитет финансов и контроля Администрации муниципального района</w:t>
            </w:r>
          </w:p>
        </w:tc>
      </w:tr>
      <w:tr w:rsidR="00371C42" w:rsidRPr="00371C42" w:rsidTr="007D3455">
        <w:trPr>
          <w:trHeight w:val="1554"/>
        </w:trPr>
        <w:tc>
          <w:tcPr>
            <w:tcW w:w="709" w:type="dxa"/>
            <w:shd w:val="clear" w:color="auto" w:fill="auto"/>
          </w:tcPr>
          <w:p w:rsidR="00F23D4A" w:rsidRPr="005D32A1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Осуществление в соответствии со своей компетенцией контроля за расходованием денежных средств, выделенных на реализацию на территории Нововаршавского муниципального района национальных, федеральных и региональных проектов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6A1CCE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6A1CCE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6A1CCE" w:rsidRDefault="00F23D4A" w:rsidP="006A1CCE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6A1CCE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Комитет финансов и контроля Администрации муниципального района</w:t>
            </w:r>
          </w:p>
        </w:tc>
      </w:tr>
      <w:tr w:rsidR="00371C42" w:rsidRPr="00371C42" w:rsidTr="007D3455">
        <w:trPr>
          <w:trHeight w:val="279"/>
        </w:trPr>
        <w:tc>
          <w:tcPr>
            <w:tcW w:w="14759" w:type="dxa"/>
            <w:gridSpan w:val="7"/>
            <w:shd w:val="clear" w:color="auto" w:fill="auto"/>
          </w:tcPr>
          <w:p w:rsidR="00F23D4A" w:rsidRPr="00371C42" w:rsidRDefault="00463784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noProof/>
                <w:szCs w:val="24"/>
                <w:lang w:val="en-US" w:eastAsia="en-US"/>
              </w:rPr>
              <w:pict>
                <v:group id="Group 17" o:spid="_x0000_s1026" style="position:absolute;left:0;text-align:left;margin-left:19.05pt;margin-top:31.6pt;width:23.55pt;height:.75pt;z-index:-1;mso-wrap-distance-left:0;mso-wrap-distance-right:0;mso-position-horizontal-relative:text;mso-position-vertical-relative:text" coordsize="2990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">
                  <v:shape id="Graphic 18" o:spid="_x0000_s1027" style="position:absolute;top:4570;width:299085;height:1270;visibility:visible;mso-wrap-style:square;v-text-anchor:top" coordsize="29908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u9/cUA&#10;AADbAAAADwAAAGRycy9kb3ducmV2LnhtbESPQUvDQBCF7wX/wzKCN7sxpSKx21KESj14sFbxOGTH&#10;JDY7GzNrmv77zkHobYb35r1vFqsxtGagXprIDu6mGRjiMvqGKwf7983tAxhJyB7byOTgRAKr5dVk&#10;gYWPR36jYZcqoyEsBTqoU+oKa6WsKaBMY0es2nfsAyZd+8r6Ho8aHlqbZ9m9DdiwNtTY0VNN5WH3&#10;Fxy8fIZBfvJnSV/5/DR7/f3we9k4d3M9rh/BJBrTxfx/vfWKr7D6iw5gl2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G739xQAAANsAAAAPAAAAAAAAAAAAAAAAAJgCAABkcnMv&#10;ZG93bnJldi54bWxQSwUGAAAAAAQABAD1AAAAigMAAAAA&#10;" path="m,l298602,e" filled="f" strokeweight=".25389mm">
                    <v:path arrowok="t"/>
                  </v:shape>
                </v:group>
              </w:pict>
            </w:r>
            <w:r w:rsidR="00F23D4A"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III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. Совершенствование предоставления муниципальных услуг</w:t>
            </w:r>
          </w:p>
        </w:tc>
      </w:tr>
      <w:tr w:rsidR="00371C42" w:rsidRPr="00371C42" w:rsidTr="007D3455">
        <w:trPr>
          <w:trHeight w:val="1275"/>
        </w:trPr>
        <w:tc>
          <w:tcPr>
            <w:tcW w:w="709" w:type="dxa"/>
            <w:shd w:val="clear" w:color="auto" w:fill="auto"/>
          </w:tcPr>
          <w:p w:rsidR="00F23D4A" w:rsidRPr="005D32A1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5D32A1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Осуществление контроля за соблюдением и исполнением положений</w:t>
            </w:r>
            <w:r w:rsidR="005D32A1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административных регламентов предоставления муниципальных услуг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 в год,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последнего числа последнего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месяца отчетного периода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Структурные подразделения Администрации Нововаршавского муниципального 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>района, г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лавы городских и сельских поселений</w:t>
            </w:r>
          </w:p>
        </w:tc>
      </w:tr>
      <w:tr w:rsidR="00371C42" w:rsidRPr="00371C42" w:rsidTr="007D3455">
        <w:trPr>
          <w:trHeight w:val="1703"/>
        </w:trPr>
        <w:tc>
          <w:tcPr>
            <w:tcW w:w="709" w:type="dxa"/>
            <w:shd w:val="clear" w:color="auto" w:fill="auto"/>
          </w:tcPr>
          <w:p w:rsidR="00F23D4A" w:rsidRPr="005D32A1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5" w:name="7"/>
            <w:bookmarkEnd w:id="5"/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Мониторинг и актуализация размещенных на официальных сайтах органов местного самоуправления в информационно-телекоммуникационной сети «Интернет» административных регламентов предоставления муниципальных услуг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в полугодие, до последнего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числа последнего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месяца отчетного периода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Структурные подразделения Администрации Нововарш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>авского муниципального района, г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лавы городских и сельских поселений</w:t>
            </w:r>
          </w:p>
        </w:tc>
      </w:tr>
      <w:tr w:rsidR="00371C42" w:rsidRPr="00371C42" w:rsidTr="007D3455">
        <w:trPr>
          <w:trHeight w:val="1118"/>
        </w:trPr>
        <w:tc>
          <w:tcPr>
            <w:tcW w:w="709" w:type="dxa"/>
            <w:shd w:val="clear" w:color="auto" w:fill="auto"/>
          </w:tcPr>
          <w:p w:rsidR="00F23D4A" w:rsidRPr="005D32A1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2F3D64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Организация процесса перевода </w:t>
            </w:r>
            <w:r w:rsidR="002F3D64">
              <w:rPr>
                <w:rFonts w:ascii="Times New Roman" w:eastAsia="Calibri" w:hAnsi="Times New Roman"/>
                <w:szCs w:val="24"/>
                <w:lang w:eastAsia="en-US"/>
              </w:rPr>
              <w:t>муниципальных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 услуг в электронный вид с использованием федеральной государственной информационной системы «Единый портал государственных услуг (функций)»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140B1F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140B1F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140B1F" w:rsidRDefault="00F23D4A" w:rsidP="00140B1F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140B1F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Экономический комитет Администрации Нововаршавского муниципального района</w:t>
            </w:r>
          </w:p>
        </w:tc>
      </w:tr>
      <w:tr w:rsidR="00371C42" w:rsidRPr="00371C42" w:rsidTr="007D3455">
        <w:trPr>
          <w:trHeight w:val="719"/>
        </w:trPr>
        <w:tc>
          <w:tcPr>
            <w:tcW w:w="14759" w:type="dxa"/>
            <w:gridSpan w:val="7"/>
            <w:tcBorders>
              <w:bottom w:val="single" w:sz="8" w:space="0" w:color="000000"/>
            </w:tcBorders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IV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. Совершенствование системы учета имущества, находящегося в собственности Нововаршавского муниципального района,  и оценки эффективности его использования</w:t>
            </w:r>
          </w:p>
        </w:tc>
      </w:tr>
      <w:tr w:rsidR="00371C42" w:rsidRPr="00371C42" w:rsidTr="007D3455">
        <w:trPr>
          <w:trHeight w:val="1667"/>
        </w:trPr>
        <w:tc>
          <w:tcPr>
            <w:tcW w:w="709" w:type="dxa"/>
            <w:shd w:val="clear" w:color="auto" w:fill="auto"/>
          </w:tcPr>
          <w:p w:rsidR="00F23D4A" w:rsidRPr="005D32A1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AF14ED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Организация и проведение в соответствии с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 законодательством проверок целевого использования, сохранности имущества, находящегося в хозяйственном ведении, оперативном управлении предприятий, учреждений, а также эффективности управления данным имуществом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F23D4A" w:rsidRPr="00140B1F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140B1F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371C42" w:rsidRDefault="00F23D4A" w:rsidP="00140B1F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140B1F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Комитет имущественных и земельных отношений Администрации муниципального района,</w:t>
            </w:r>
          </w:p>
          <w:p w:rsidR="00F23D4A" w:rsidRPr="00371C42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лавы городских и сельских поселений</w:t>
            </w:r>
          </w:p>
        </w:tc>
      </w:tr>
      <w:tr w:rsidR="005D32A1" w:rsidRPr="00371C42" w:rsidTr="007D3455">
        <w:trPr>
          <w:trHeight w:val="1660"/>
        </w:trPr>
        <w:tc>
          <w:tcPr>
            <w:tcW w:w="709" w:type="dxa"/>
            <w:shd w:val="clear" w:color="auto" w:fill="auto"/>
          </w:tcPr>
          <w:p w:rsidR="005D32A1" w:rsidRPr="005D32A1" w:rsidRDefault="005D32A1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5D32A1" w:rsidRPr="00371C42" w:rsidRDefault="005D32A1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Обеспечение доступности информации о наличии недвижимого имущества, находящегося в собственности Нововаршавского муниципального района, предполагаемого к передаче в соответствии с </w:t>
            </w:r>
          </w:p>
          <w:p w:rsidR="005D32A1" w:rsidRPr="00371C42" w:rsidRDefault="005D32A1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законодательством в пользование гражданам и организациям, в том числе путем размещения ее на официальном сайте в информационно-телекоммуникационной сети «Интернет»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D32A1" w:rsidRPr="000A384B" w:rsidRDefault="005D32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5D32A1" w:rsidRPr="000A384B" w:rsidRDefault="005D32A1" w:rsidP="000A384B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5D32A1" w:rsidRPr="007D3455" w:rsidRDefault="005D32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D3455">
              <w:rPr>
                <w:rFonts w:ascii="Times New Roman" w:eastAsia="Calibri" w:hAnsi="Times New Roman"/>
                <w:szCs w:val="24"/>
                <w:lang w:eastAsia="en-US"/>
              </w:rPr>
              <w:t>Комитет имущественных и земельных</w:t>
            </w:r>
          </w:p>
          <w:p w:rsidR="005D32A1" w:rsidRPr="007D3455" w:rsidRDefault="005D32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7D3455">
              <w:rPr>
                <w:rFonts w:ascii="Times New Roman" w:eastAsia="Calibri" w:hAnsi="Times New Roman"/>
                <w:szCs w:val="24"/>
                <w:lang w:eastAsia="en-US"/>
              </w:rPr>
              <w:t>отношений Администрации муниципального района</w:t>
            </w:r>
          </w:p>
        </w:tc>
      </w:tr>
      <w:tr w:rsidR="00371C42" w:rsidRPr="00371C42" w:rsidTr="007D3455">
        <w:trPr>
          <w:trHeight w:val="462"/>
        </w:trPr>
        <w:tc>
          <w:tcPr>
            <w:tcW w:w="14759" w:type="dxa"/>
            <w:gridSpan w:val="7"/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V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. Совершенствование условий, процедур и механизмов закупок товаров, работ, услуг для обеспечения муниципальных нужд</w:t>
            </w:r>
          </w:p>
        </w:tc>
      </w:tr>
      <w:tr w:rsidR="00371C42" w:rsidRPr="00371C42" w:rsidTr="007D3455">
        <w:trPr>
          <w:trHeight w:val="2224"/>
        </w:trPr>
        <w:tc>
          <w:tcPr>
            <w:tcW w:w="709" w:type="dxa"/>
            <w:shd w:val="clear" w:color="auto" w:fill="auto"/>
          </w:tcPr>
          <w:p w:rsidR="00F23D4A" w:rsidRPr="00167666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AF14ED" w:rsidP="00371C42">
            <w:pPr>
              <w:widowControl w:val="0"/>
              <w:ind w:right="72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Анализ соблюдения требований законодательства 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Российской Федерации и иных нормативных правовых актов при осуществлении закупок товаров, работ, услуг для обеспечения муниципальных нужд в целях выявления коррупционных рисков для принятия мер по их устранению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в полугодие, до последнего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числа последнего месяца отчетного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периода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отдел закупок Администрации Нововаршавского муниципального района, контрактная службы Админи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>страции муниципального района, г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лавы городских и сельских поселений</w:t>
            </w:r>
          </w:p>
        </w:tc>
      </w:tr>
      <w:tr w:rsidR="00371C42" w:rsidRPr="00371C42" w:rsidTr="007D3455">
        <w:trPr>
          <w:trHeight w:val="1674"/>
        </w:trPr>
        <w:tc>
          <w:tcPr>
            <w:tcW w:w="709" w:type="dxa"/>
            <w:shd w:val="clear" w:color="auto" w:fill="auto"/>
          </w:tcPr>
          <w:p w:rsidR="00F23D4A" w:rsidRPr="00167666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167666">
            <w:pPr>
              <w:widowControl w:val="0"/>
              <w:ind w:right="72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Анализ информации об участниках закупок товаров, работ, услуг для</w:t>
            </w:r>
            <w:r w:rsidR="00167666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обеспечения государственных нужд в целях установления аффилированных связей с уполномоченными муниципальными служащими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0A384B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0A384B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0A384B" w:rsidRDefault="00F23D4A" w:rsidP="000A384B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0A384B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отдел закупок Администрации Нововаршавского муниципального района, контрактная службы Администрации муниципального района,</w:t>
            </w:r>
          </w:p>
        </w:tc>
      </w:tr>
      <w:tr w:rsidR="00371C42" w:rsidRPr="00371C42" w:rsidTr="007D3455">
        <w:trPr>
          <w:trHeight w:val="685"/>
        </w:trPr>
        <w:tc>
          <w:tcPr>
            <w:tcW w:w="14759" w:type="dxa"/>
            <w:gridSpan w:val="7"/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6" w:name="9"/>
            <w:bookmarkEnd w:id="6"/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VI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. Развитие правовой основы противодействия коррупции</w:t>
            </w:r>
          </w:p>
        </w:tc>
      </w:tr>
      <w:tr w:rsidR="00371C42" w:rsidRPr="00371C42" w:rsidTr="007D3455">
        <w:trPr>
          <w:trHeight w:val="1577"/>
        </w:trPr>
        <w:tc>
          <w:tcPr>
            <w:tcW w:w="709" w:type="dxa"/>
            <w:shd w:val="clear" w:color="auto" w:fill="auto"/>
          </w:tcPr>
          <w:p w:rsidR="00F23D4A" w:rsidRPr="005141B4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Мониторинг нормативно правовых актов Нововаршавского му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ниципального района в пределах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своей компетенции в целях выявления пробелов в правовом регулировании отношений в сфере противодействия коррупции, а также обеспечения их соответствия законодательству 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в полугодие, до последнего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числа последнего месяца отчетного периода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Юридический отдел Администрации Нововаршавского муниципального района</w:t>
            </w:r>
          </w:p>
        </w:tc>
      </w:tr>
      <w:tr w:rsidR="00371C42" w:rsidRPr="00371C42" w:rsidTr="007D3455">
        <w:trPr>
          <w:trHeight w:val="2240"/>
        </w:trPr>
        <w:tc>
          <w:tcPr>
            <w:tcW w:w="709" w:type="dxa"/>
            <w:shd w:val="clear" w:color="auto" w:fill="auto"/>
          </w:tcPr>
          <w:p w:rsidR="00F23D4A" w:rsidRPr="005141B4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Подготовка в пределах своей компетенции проектов нормативных правовых актов Нововаршавского муниципального района по вопросам противодействия коррупции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0A384B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0A384B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0A384B" w:rsidRDefault="00F23D4A" w:rsidP="000A384B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0A384B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Юридический отдел Администрации Нововаршавского муниципального района, Аппара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>т главы муниципального района, г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лавы городских и сельских поселений</w:t>
            </w:r>
          </w:p>
        </w:tc>
      </w:tr>
      <w:tr w:rsidR="00371C42" w:rsidRPr="00371C42" w:rsidTr="007D3455">
        <w:trPr>
          <w:trHeight w:val="1477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 Анализ результатов п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>роведения антикоррупционной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 экспертизы нормативно правовых актов Администрации Нововаршавского муниципального района и их проектов на предмет наличия условий и положений, способствующих совершению коррупционных правонарушений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Ежеквартально,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5 числа месяца, следующего за отчетным периодом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Юридический отдел Администрации Нововаршавского муниципального района</w:t>
            </w:r>
          </w:p>
        </w:tc>
      </w:tr>
      <w:tr w:rsidR="00371C42" w:rsidRPr="00371C42" w:rsidTr="007D3455">
        <w:trPr>
          <w:trHeight w:val="1277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7" w:name="10"/>
            <w:bookmarkEnd w:id="7"/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Выявление коррупциогенных факторов при проведении юридической экспертизы муниципальных нормативных правовых актов, подлежащих включению в регистр муниципальных нормативных правовых актов Омской области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0A384B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0A384B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0A384B" w:rsidRDefault="00F23D4A" w:rsidP="000A384B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0A384B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Юридический отдел Администрации Нововаршавского муниципального района</w:t>
            </w:r>
          </w:p>
        </w:tc>
      </w:tr>
      <w:tr w:rsidR="00371C42" w:rsidRPr="00371C42" w:rsidTr="007D3455">
        <w:trPr>
          <w:trHeight w:val="1267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Обеспечение возможности проведения независимой антикоррупционной экспертизы нормативных правовых актов и проектов нормативных правовых актов в соответствии с законодательством Российской Федерации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0A384B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0A384B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0A384B" w:rsidRDefault="00F23D4A" w:rsidP="000A384B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0A384B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8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Юридический отдел Администрации Нововаршавского муниципального района</w:t>
            </w:r>
          </w:p>
        </w:tc>
      </w:tr>
      <w:tr w:rsidR="00C673A1" w:rsidRPr="00371C42" w:rsidTr="007D3455">
        <w:trPr>
          <w:trHeight w:val="6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3A1" w:rsidRPr="007D3455" w:rsidRDefault="00C673A1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8" w:name="11"/>
            <w:bookmarkEnd w:id="8"/>
          </w:p>
        </w:tc>
        <w:tc>
          <w:tcPr>
            <w:tcW w:w="8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ind w:right="57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Рассмотрение по результатам вступивших в законную силу решений судов, арбитражных судов о признании недействительными ненормативных правовых актов органов местного самоуправления, незаконными решений и действий (бездействия) органов власти и их должностных лиц вопросов правоприменительной практики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Ежеквартально,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до последнего</w:t>
            </w:r>
          </w:p>
        </w:tc>
        <w:tc>
          <w:tcPr>
            <w:tcW w:w="3268" w:type="dxa"/>
            <w:gridSpan w:val="2"/>
            <w:tcBorders>
              <w:bottom w:val="nil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C673A1" w:rsidRPr="00371C42" w:rsidTr="007D3455">
        <w:trPr>
          <w:trHeight w:val="6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1" w:rsidRPr="00371C42" w:rsidRDefault="00C673A1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83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числа последнего месяца отчетного периода</w:t>
            </w:r>
          </w:p>
        </w:tc>
        <w:tc>
          <w:tcPr>
            <w:tcW w:w="3268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Юридический отдел Администрации Нововаршавского муниципального района</w:t>
            </w:r>
          </w:p>
        </w:tc>
      </w:tr>
      <w:tr w:rsidR="00C673A1" w:rsidRPr="00371C42" w:rsidTr="007D3455">
        <w:trPr>
          <w:trHeight w:val="29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3A1" w:rsidRPr="00371C42" w:rsidRDefault="00C673A1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Анализ и обобщение по результатам вступивших в законную силу</w:t>
            </w:r>
          </w:p>
          <w:p w:rsidR="00C673A1" w:rsidRPr="00371C42" w:rsidRDefault="00C673A1" w:rsidP="00371C42">
            <w:pPr>
              <w:widowControl w:val="0"/>
              <w:ind w:right="57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решений судов, арбитражных судов о признании недействительными ненормативных правовых актов органов местного самоуправления, незаконными решений и действий (бездействия) органов местного самоуправления и их должностных лиц материалов правоприменительной практики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Один раз в год,</w:t>
            </w:r>
          </w:p>
        </w:tc>
        <w:tc>
          <w:tcPr>
            <w:tcW w:w="3268" w:type="dxa"/>
            <w:gridSpan w:val="2"/>
            <w:tcBorders>
              <w:bottom w:val="nil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</w:tr>
      <w:tr w:rsidR="00C673A1" w:rsidRPr="00371C42" w:rsidTr="007D3455">
        <w:trPr>
          <w:trHeight w:val="187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1" w:rsidRPr="00371C42" w:rsidRDefault="00C673A1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83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ind w:right="57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15 декабря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2025 года,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15 декабря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2026 года,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15 декабря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2027 года,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15 декабря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2028 года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(включая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представление информации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в Главное государственно- правовое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Управление</w:t>
            </w:r>
          </w:p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Омской области)</w:t>
            </w:r>
          </w:p>
        </w:tc>
        <w:tc>
          <w:tcPr>
            <w:tcW w:w="3268" w:type="dxa"/>
            <w:gridSpan w:val="2"/>
            <w:tcBorders>
              <w:top w:val="nil"/>
              <w:bottom w:val="single" w:sz="6" w:space="0" w:color="000000"/>
            </w:tcBorders>
            <w:shd w:val="clear" w:color="auto" w:fill="auto"/>
          </w:tcPr>
          <w:p w:rsidR="00C673A1" w:rsidRPr="00371C42" w:rsidRDefault="00C673A1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Юридический отдел Администрации Нововаршавского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403"/>
        </w:trPr>
        <w:tc>
          <w:tcPr>
            <w:tcW w:w="14742" w:type="dxa"/>
            <w:gridSpan w:val="6"/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9" w:name="12"/>
            <w:bookmarkEnd w:id="9"/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VII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. Повышение уровня антикоррупционной компетентности муниципальных служащих</w:t>
            </w:r>
          </w:p>
        </w:tc>
      </w:tr>
      <w:tr w:rsidR="00371C42" w:rsidRPr="00371C42" w:rsidTr="007D3455">
        <w:trPr>
          <w:gridAfter w:val="1"/>
          <w:wAfter w:w="17" w:type="dxa"/>
          <w:trHeight w:val="1277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ind w:right="72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Обеспечение участия лиц, впервые поступивших на муниципальную службу и замещающих должности, связанные с соблюдением системы запретов, ограничений и обязанностей, установленных в целях противодействия коррупции, в мероприятиях по профессиональному развитию в области противодействия коррупции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 в год,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3251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1410"/>
        </w:trPr>
        <w:tc>
          <w:tcPr>
            <w:tcW w:w="709" w:type="dxa"/>
            <w:shd w:val="clear" w:color="auto" w:fill="auto"/>
          </w:tcPr>
          <w:p w:rsidR="00F23D4A" w:rsidRPr="00371C42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A94D20" w:rsidRDefault="00F23D4A" w:rsidP="00A94D20">
            <w:pPr>
              <w:widowControl w:val="0"/>
              <w:ind w:right="72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Обеспечение участия муниципальных служащих, в должностные обязанности которых входит участие в противодейст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вии коррупции, в мероприятиях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по   про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фессиональному развитию в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области</w:t>
            </w:r>
            <w:r w:rsidR="00A94D2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противодействия коррупции, в том числе их обучения по до</w:t>
            </w:r>
            <w:r w:rsidR="00AF14ED"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полнительным профессиональным программам в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области</w:t>
            </w:r>
            <w:r w:rsidR="00A94D2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A94D20">
              <w:rPr>
                <w:rFonts w:ascii="Times New Roman" w:eastAsia="Calibri" w:hAnsi="Times New Roman"/>
                <w:szCs w:val="24"/>
                <w:lang w:eastAsia="en-US"/>
              </w:rPr>
              <w:t xml:space="preserve">противодействия коррупции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 в год,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3251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1552"/>
        </w:trPr>
        <w:tc>
          <w:tcPr>
            <w:tcW w:w="709" w:type="dxa"/>
            <w:shd w:val="clear" w:color="auto" w:fill="auto"/>
          </w:tcPr>
          <w:p w:rsidR="00F23D4A" w:rsidRPr="00371C42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8372" w:type="dxa"/>
            <w:gridSpan w:val="2"/>
            <w:shd w:val="clear" w:color="auto" w:fill="auto"/>
          </w:tcPr>
          <w:p w:rsidR="00F23D4A" w:rsidRPr="00371C42" w:rsidRDefault="00AF14ED" w:rsidP="00A94D20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Обеспечение 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участия муниципальных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служащих, в 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должностные</w:t>
            </w:r>
            <w:r w:rsidR="00A94D2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обучения по дополнительные профессиональным программам в области противодействия коррупции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 в год,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3251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1389"/>
        </w:trPr>
        <w:tc>
          <w:tcPr>
            <w:tcW w:w="709" w:type="dxa"/>
            <w:shd w:val="clear" w:color="auto" w:fill="auto"/>
          </w:tcPr>
          <w:p w:rsidR="00F23D4A" w:rsidRPr="00371C42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bookmarkStart w:id="10" w:name="13"/>
            <w:bookmarkEnd w:id="10"/>
          </w:p>
        </w:tc>
        <w:tc>
          <w:tcPr>
            <w:tcW w:w="8363" w:type="dxa"/>
            <w:shd w:val="clear" w:color="auto" w:fill="auto"/>
          </w:tcPr>
          <w:p w:rsidR="00F23D4A" w:rsidRPr="00371C42" w:rsidRDefault="00F23D4A" w:rsidP="00A94D20">
            <w:pPr>
              <w:widowControl w:val="0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Проведение семинаров по вопросам применения законодательства о</w:t>
            </w:r>
            <w:r w:rsidR="00A94D20">
              <w:rPr>
                <w:rFonts w:ascii="Times New Roman" w:eastAsia="Calibri" w:hAnsi="Times New Roman"/>
                <w:szCs w:val="24"/>
                <w:lang w:eastAsia="en-US"/>
              </w:rPr>
              <w:t xml:space="preserve"> 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противодействии коррупции с муниципальными служащими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 в год,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416"/>
        </w:trPr>
        <w:tc>
          <w:tcPr>
            <w:tcW w:w="14742" w:type="dxa"/>
            <w:gridSpan w:val="6"/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VIII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. Обеспечение взаимодействия органов власти с правоохранительными органами и органами прокуратуры</w:t>
            </w:r>
          </w:p>
        </w:tc>
      </w:tr>
      <w:tr w:rsidR="00371C42" w:rsidRPr="00371C42" w:rsidTr="007D3455">
        <w:trPr>
          <w:gridAfter w:val="1"/>
          <w:wAfter w:w="17" w:type="dxa"/>
          <w:trHeight w:val="1702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</w:tcPr>
          <w:p w:rsidR="00F23D4A" w:rsidRPr="00371C42" w:rsidRDefault="00AF14ED" w:rsidP="00371C42">
            <w:pPr>
              <w:widowControl w:val="0"/>
              <w:ind w:right="87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 xml:space="preserve">Обеспечение организации обмена 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органов местного самоуправления с правоохранительными органами и органами прокуратуры:</w:t>
            </w:r>
          </w:p>
          <w:p w:rsidR="00F23D4A" w:rsidRPr="00371C42" w:rsidRDefault="00F23D4A" w:rsidP="00371C42">
            <w:pPr>
              <w:widowControl w:val="0"/>
              <w:ind w:right="87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информацией о коррупционных правонарушениях, совершенных должностными лицами органов местного самоуправления, работниками учреждений, предприятий;</w:t>
            </w:r>
          </w:p>
          <w:p w:rsidR="00F23D4A" w:rsidRPr="00371C42" w:rsidRDefault="00F23D4A" w:rsidP="00371C42">
            <w:pPr>
              <w:widowControl w:val="0"/>
              <w:ind w:right="87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предложениями по совершенствованию профилактики коррупции в органах местного самоуправления, учреждениях, предприятиях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E11B28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E11B28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E11B28" w:rsidRDefault="00F23D4A" w:rsidP="00E11B28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E11B28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Аппарат главы муниципального района,</w:t>
            </w:r>
          </w:p>
          <w:p w:rsidR="00F23D4A" w:rsidRPr="00371C42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лавы городских и сельских поселений</w:t>
            </w:r>
          </w:p>
        </w:tc>
      </w:tr>
      <w:tr w:rsidR="00371C42" w:rsidRPr="00371C42" w:rsidTr="007D3455">
        <w:trPr>
          <w:gridAfter w:val="1"/>
          <w:wAfter w:w="17" w:type="dxa"/>
          <w:trHeight w:val="391"/>
        </w:trPr>
        <w:tc>
          <w:tcPr>
            <w:tcW w:w="14742" w:type="dxa"/>
            <w:gridSpan w:val="6"/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IX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. Обеспечение участия институтов гражданского общества в противодействии коррупции. Антикоррупционное просвещение граждан</w:t>
            </w:r>
          </w:p>
        </w:tc>
      </w:tr>
      <w:tr w:rsidR="00371C42" w:rsidRPr="00371C42" w:rsidTr="007D3455">
        <w:trPr>
          <w:gridAfter w:val="1"/>
          <w:wAfter w:w="17" w:type="dxa"/>
          <w:trHeight w:val="1425"/>
        </w:trPr>
        <w:tc>
          <w:tcPr>
            <w:tcW w:w="709" w:type="dxa"/>
            <w:shd w:val="clear" w:color="auto" w:fill="auto"/>
          </w:tcPr>
          <w:p w:rsidR="00F23D4A" w:rsidRPr="00371C42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8363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ind w:right="87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Информационное сопровождение деятельности по противодействию коррупции в Нововаршавском муниципальном районе, в том числе подготовка и размещение в средствах массовой информации публикаций о результатах работы органов местного самоуправления по противодействию коррупции, а также социальной рекламы антикоррупционной направленности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течение</w:t>
            </w:r>
          </w:p>
          <w:p w:rsidR="00F23D4A" w:rsidRPr="00E11B28" w:rsidRDefault="00F23D4A" w:rsidP="00E11B28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E11B28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Аппарат главы муниципального района,</w:t>
            </w:r>
          </w:p>
          <w:p w:rsidR="00F23D4A" w:rsidRPr="00371C42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  <w:r w:rsidR="00F23D4A" w:rsidRPr="00371C42">
              <w:rPr>
                <w:rFonts w:ascii="Times New Roman" w:eastAsia="Calibri" w:hAnsi="Times New Roman"/>
                <w:szCs w:val="24"/>
                <w:lang w:eastAsia="en-US"/>
              </w:rPr>
              <w:t>лавы городских и сельских поселений</w:t>
            </w:r>
          </w:p>
        </w:tc>
      </w:tr>
      <w:tr w:rsidR="00371C42" w:rsidRPr="00371C42" w:rsidTr="007D3455">
        <w:trPr>
          <w:gridAfter w:val="1"/>
          <w:wAfter w:w="17" w:type="dxa"/>
          <w:trHeight w:val="1844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11" w:name="14"/>
            <w:bookmarkEnd w:id="11"/>
          </w:p>
        </w:tc>
        <w:tc>
          <w:tcPr>
            <w:tcW w:w="8363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ind w:right="42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Рассмотрение общественными советами при органах власти проектов правовых актов по значимым для отрасли проблемам в целях прогнозирования социально-экономических последствий принятия соответствующих правовых актов, а также установления наличия коррупциогенных факторов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9C7797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9C7797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9C7797" w:rsidRDefault="00F23D4A" w:rsidP="009C7797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9C7797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Экономический комитет Администрации Нововаршавского муниципального района,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487"/>
        </w:trPr>
        <w:tc>
          <w:tcPr>
            <w:tcW w:w="14742" w:type="dxa"/>
            <w:gridSpan w:val="6"/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Х. Организация работы по противодействию коррупции в учреждениях, предприятиях</w:t>
            </w:r>
          </w:p>
        </w:tc>
      </w:tr>
      <w:tr w:rsidR="00371C42" w:rsidRPr="00371C42" w:rsidTr="007D3455">
        <w:trPr>
          <w:gridAfter w:val="1"/>
          <w:wAfter w:w="17" w:type="dxa"/>
          <w:trHeight w:val="909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</w:tcPr>
          <w:p w:rsidR="00F23D4A" w:rsidRPr="00A53ED4" w:rsidRDefault="00F23D4A" w:rsidP="00371C42">
            <w:pPr>
              <w:widowControl w:val="0"/>
              <w:ind w:right="184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3ED4">
              <w:rPr>
                <w:rFonts w:ascii="Times New Roman" w:eastAsia="Calibri" w:hAnsi="Times New Roman"/>
                <w:szCs w:val="24"/>
                <w:lang w:eastAsia="en-US"/>
              </w:rPr>
              <w:t>Осуществление анализа системы доплат, надбавок стимулирующего характера и системы премирования в учреждениях и предприятиях в ходе проведения проверок в соответствии с законодательством Российской Федерации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A53ED4" w:rsidRDefault="00AF14ED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3ED4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 w:rsidR="00156625" w:rsidRPr="00A53ED4"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A53ED4" w:rsidRDefault="00F23D4A" w:rsidP="00156625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A53ED4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 w:rsidR="00156625" w:rsidRPr="00A53ED4"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23D4A" w:rsidRPr="00A53ED4" w:rsidRDefault="00156625" w:rsidP="009C7797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A53ED4">
              <w:rPr>
                <w:rFonts w:ascii="Times New Roman" w:eastAsia="Calibri" w:hAnsi="Times New Roman"/>
                <w:szCs w:val="24"/>
                <w:lang w:eastAsia="en-US"/>
              </w:rPr>
              <w:t>Комитет финансов и контроля Администрации муниципального района</w:t>
            </w:r>
            <w:bookmarkStart w:id="12" w:name="_GoBack"/>
            <w:bookmarkEnd w:id="12"/>
          </w:p>
        </w:tc>
      </w:tr>
      <w:tr w:rsidR="00371C42" w:rsidRPr="00371C42" w:rsidTr="007D3455">
        <w:trPr>
          <w:gridAfter w:val="1"/>
          <w:wAfter w:w="17" w:type="dxa"/>
          <w:trHeight w:val="1368"/>
        </w:trPr>
        <w:tc>
          <w:tcPr>
            <w:tcW w:w="709" w:type="dxa"/>
            <w:shd w:val="clear" w:color="auto" w:fill="auto"/>
          </w:tcPr>
          <w:p w:rsidR="00F23D4A" w:rsidRPr="00371C42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8363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ind w:right="42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Осуществление в соответствии со своей компетенцией профилактических мероприятий, направленных на недопущение нецелевого и неэффективного расходования бюджетных (внебюджетных) денежных средств учреждениями, предприятиями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156625" w:rsidRPr="00156625" w:rsidRDefault="00156625" w:rsidP="00156625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В течени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е</w:t>
            </w:r>
          </w:p>
          <w:p w:rsidR="00F23D4A" w:rsidRPr="00371C42" w:rsidRDefault="00156625" w:rsidP="00156625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2025 — 2028 г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г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Комитет финансов и контроля Администрации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1234"/>
        </w:trPr>
        <w:tc>
          <w:tcPr>
            <w:tcW w:w="709" w:type="dxa"/>
            <w:shd w:val="clear" w:color="auto" w:fill="auto"/>
          </w:tcPr>
          <w:p w:rsidR="00F23D4A" w:rsidRPr="00371C42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8363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ind w:right="184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Проведение информационно-разъяснительной работы для руководителей и работников учреждений и предприятий по вопросам противодействия коррупции, в том числе в связи с осуществлением закупок товаров, работ, услуг для обеспечения муниципальных нужд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 в год,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последнего числа последнего месяца отчетного периода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</w:tcBorders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457"/>
        </w:trPr>
        <w:tc>
          <w:tcPr>
            <w:tcW w:w="14742" w:type="dxa"/>
            <w:gridSpan w:val="6"/>
            <w:shd w:val="clear" w:color="auto" w:fill="auto"/>
          </w:tcPr>
          <w:p w:rsidR="00F23D4A" w:rsidRPr="00371C42" w:rsidRDefault="00F23D4A" w:rsidP="007D3455">
            <w:pPr>
              <w:widowControl w:val="0"/>
              <w:ind w:left="72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bookmarkStart w:id="13" w:name="15"/>
            <w:bookmarkEnd w:id="13"/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XI</w:t>
            </w: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. Контроль за выполнением мероприятий, предусмотренных настоящим Планом, планами противодействия коррупции на 2025 — 2028 годы</w:t>
            </w:r>
          </w:p>
        </w:tc>
      </w:tr>
      <w:tr w:rsidR="00371C42" w:rsidRPr="00371C42" w:rsidTr="007D3455">
        <w:trPr>
          <w:gridAfter w:val="1"/>
          <w:wAfter w:w="17" w:type="dxa"/>
          <w:trHeight w:val="1391"/>
        </w:trPr>
        <w:tc>
          <w:tcPr>
            <w:tcW w:w="709" w:type="dxa"/>
            <w:shd w:val="clear" w:color="auto" w:fill="auto"/>
          </w:tcPr>
          <w:p w:rsidR="00F23D4A" w:rsidRPr="007D3455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</w:p>
        </w:tc>
        <w:tc>
          <w:tcPr>
            <w:tcW w:w="8363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ind w:right="199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Размещение информации об исполнении планов противодействия коррупции на 2025 — 2028 годы, утвержденных органами местного самоуправления, в разделе «Противодействие коррупции» официального сайта органа местного самоуправления в информационно-телекоммуникационной сети «Интернет»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Один раз в год,</w:t>
            </w:r>
          </w:p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до 15 января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</w:tc>
      </w:tr>
      <w:tr w:rsidR="00371C42" w:rsidRPr="00371C42" w:rsidTr="007D3455">
        <w:trPr>
          <w:gridAfter w:val="1"/>
          <w:wAfter w:w="17" w:type="dxa"/>
          <w:trHeight w:val="1693"/>
        </w:trPr>
        <w:tc>
          <w:tcPr>
            <w:tcW w:w="709" w:type="dxa"/>
            <w:shd w:val="clear" w:color="auto" w:fill="auto"/>
          </w:tcPr>
          <w:p w:rsidR="00F23D4A" w:rsidRPr="00371C42" w:rsidRDefault="00F23D4A" w:rsidP="007D3455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/>
                <w:szCs w:val="24"/>
                <w:lang w:val="en-US" w:eastAsia="en-US"/>
              </w:rPr>
            </w:pPr>
          </w:p>
        </w:tc>
        <w:tc>
          <w:tcPr>
            <w:tcW w:w="8363" w:type="dxa"/>
            <w:shd w:val="clear" w:color="auto" w:fill="auto"/>
          </w:tcPr>
          <w:p w:rsidR="00F23D4A" w:rsidRPr="00371C42" w:rsidRDefault="00F23D4A" w:rsidP="00371C42">
            <w:pPr>
              <w:widowControl w:val="0"/>
              <w:ind w:right="199"/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eastAsia="en-US"/>
              </w:rPr>
              <w:t>Мониторинг реализации настоящего Плана, планов противодействия коррупции на 2025 — 2028 годы, утвержденных органами местного самоуправления, планов противодействия коррупции на 2025 — 2028 годы, утвержденных учреждениями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Один раз в полугодие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F23D4A" w:rsidRPr="00371C42" w:rsidRDefault="00F23D4A" w:rsidP="00371C42">
            <w:pPr>
              <w:widowControl w:val="0"/>
              <w:jc w:val="center"/>
              <w:rPr>
                <w:rFonts w:ascii="Times New Roman" w:eastAsia="Calibri" w:hAnsi="Times New Roman"/>
                <w:szCs w:val="24"/>
                <w:lang w:val="en-US" w:eastAsia="en-US"/>
              </w:rPr>
            </w:pPr>
            <w:r w:rsidRPr="00371C42">
              <w:rPr>
                <w:rFonts w:ascii="Times New Roman" w:eastAsia="Calibri" w:hAnsi="Times New Roman"/>
                <w:szCs w:val="24"/>
                <w:lang w:val="en-US" w:eastAsia="en-US"/>
              </w:rPr>
              <w:t>Аппарат главы муниципального района</w:t>
            </w:r>
          </w:p>
        </w:tc>
      </w:tr>
    </w:tbl>
    <w:p w:rsidR="00F23D4A" w:rsidRDefault="00F23D4A" w:rsidP="00DD4940">
      <w:pPr>
        <w:pStyle w:val="a5"/>
        <w:spacing w:before="170"/>
        <w:rPr>
          <w:rFonts w:ascii="Consolas"/>
          <w:sz w:val="20"/>
        </w:rPr>
      </w:pPr>
    </w:p>
    <w:sectPr w:rsidR="00F23D4A">
      <w:headerReference w:type="default" r:id="rId10"/>
      <w:pgSz w:w="16830" w:h="11900" w:orient="landscape"/>
      <w:pgMar w:top="900" w:right="640" w:bottom="280" w:left="740" w:header="55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784" w:rsidRDefault="00463784">
      <w:r>
        <w:separator/>
      </w:r>
    </w:p>
  </w:endnote>
  <w:endnote w:type="continuationSeparator" w:id="0">
    <w:p w:rsidR="00463784" w:rsidRDefault="00463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784" w:rsidRDefault="00463784">
      <w:r>
        <w:separator/>
      </w:r>
    </w:p>
  </w:footnote>
  <w:footnote w:type="continuationSeparator" w:id="0">
    <w:p w:rsidR="00463784" w:rsidRDefault="004637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770" w:rsidRDefault="00A41770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3D4A" w:rsidRDefault="00463784">
    <w:pPr>
      <w:pStyle w:val="a5"/>
      <w:spacing w:line="14" w:lineRule="auto"/>
      <w:rPr>
        <w:sz w:val="20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33" o:spid="_x0000_s2049" type="#_x0000_t202" style="position:absolute;margin-left:423.15pt;margin-top:28.05pt;width:20.9pt;height:17.5pt;z-index:-1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" filled="f" stroked="f">
          <v:path arrowok="t"/>
          <v:textbox inset="0,0,0,0">
            <w:txbxContent>
              <w:p w:rsidR="00F23D4A" w:rsidRDefault="00F23D4A">
                <w:pPr>
                  <w:pStyle w:val="a5"/>
                  <w:spacing w:before="8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53ED4">
                  <w:rPr>
                    <w:noProof/>
                    <w:spacing w:val="-5"/>
                  </w:rPr>
                  <w:t>6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EF1382"/>
    <w:multiLevelType w:val="hybridMultilevel"/>
    <w:tmpl w:val="50F2E27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5D618C4"/>
    <w:multiLevelType w:val="hybridMultilevel"/>
    <w:tmpl w:val="7D3006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3D4A"/>
    <w:rsid w:val="000A384B"/>
    <w:rsid w:val="000B4BEF"/>
    <w:rsid w:val="00135FDD"/>
    <w:rsid w:val="00137A3E"/>
    <w:rsid w:val="00140B1F"/>
    <w:rsid w:val="00143C33"/>
    <w:rsid w:val="00156625"/>
    <w:rsid w:val="00167666"/>
    <w:rsid w:val="001C18FA"/>
    <w:rsid w:val="00214512"/>
    <w:rsid w:val="00291CB8"/>
    <w:rsid w:val="002A3E13"/>
    <w:rsid w:val="002F3D64"/>
    <w:rsid w:val="00334C02"/>
    <w:rsid w:val="00371C42"/>
    <w:rsid w:val="003B02A6"/>
    <w:rsid w:val="00406CDD"/>
    <w:rsid w:val="004077C7"/>
    <w:rsid w:val="00413004"/>
    <w:rsid w:val="00463784"/>
    <w:rsid w:val="00472D5A"/>
    <w:rsid w:val="00492612"/>
    <w:rsid w:val="004E63FC"/>
    <w:rsid w:val="004F77B3"/>
    <w:rsid w:val="00512A15"/>
    <w:rsid w:val="005141B4"/>
    <w:rsid w:val="005D32A1"/>
    <w:rsid w:val="005E56E3"/>
    <w:rsid w:val="005F5AE2"/>
    <w:rsid w:val="00652977"/>
    <w:rsid w:val="00693F9C"/>
    <w:rsid w:val="006A1CCE"/>
    <w:rsid w:val="006C23AB"/>
    <w:rsid w:val="006E1FC6"/>
    <w:rsid w:val="007006AE"/>
    <w:rsid w:val="00701CC3"/>
    <w:rsid w:val="007A2029"/>
    <w:rsid w:val="007D3455"/>
    <w:rsid w:val="007F1671"/>
    <w:rsid w:val="00864F91"/>
    <w:rsid w:val="0087374C"/>
    <w:rsid w:val="00901C3B"/>
    <w:rsid w:val="009227F1"/>
    <w:rsid w:val="009C7797"/>
    <w:rsid w:val="00A33684"/>
    <w:rsid w:val="00A41770"/>
    <w:rsid w:val="00A53ED4"/>
    <w:rsid w:val="00A64F9E"/>
    <w:rsid w:val="00A811F0"/>
    <w:rsid w:val="00A94D20"/>
    <w:rsid w:val="00AD7AF5"/>
    <w:rsid w:val="00AF14ED"/>
    <w:rsid w:val="00AF2675"/>
    <w:rsid w:val="00BC3F3A"/>
    <w:rsid w:val="00BF4C19"/>
    <w:rsid w:val="00C02C21"/>
    <w:rsid w:val="00C55D3D"/>
    <w:rsid w:val="00C626E2"/>
    <w:rsid w:val="00C634BB"/>
    <w:rsid w:val="00C673A1"/>
    <w:rsid w:val="00C81B4C"/>
    <w:rsid w:val="00C90702"/>
    <w:rsid w:val="00D0245A"/>
    <w:rsid w:val="00DD1F48"/>
    <w:rsid w:val="00DD4940"/>
    <w:rsid w:val="00DE3C0E"/>
    <w:rsid w:val="00E11B28"/>
    <w:rsid w:val="00E319C4"/>
    <w:rsid w:val="00E82710"/>
    <w:rsid w:val="00F23D4A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0072C56-F821-4887-8A50-66C8236C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table" w:customStyle="1" w:styleId="TableNormal">
    <w:name w:val="Table Normal"/>
    <w:uiPriority w:val="2"/>
    <w:semiHidden/>
    <w:unhideWhenUsed/>
    <w:qFormat/>
    <w:rsid w:val="00F23D4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F23D4A"/>
    <w:pPr>
      <w:widowControl w:val="0"/>
      <w:overflowPunct/>
      <w:adjustRightInd/>
      <w:textAlignment w:val="auto"/>
    </w:pPr>
    <w:rPr>
      <w:rFonts w:ascii="Times New Roman" w:hAnsi="Times New Roman"/>
      <w:sz w:val="28"/>
      <w:szCs w:val="28"/>
      <w:lang w:eastAsia="en-US"/>
    </w:rPr>
  </w:style>
  <w:style w:type="character" w:customStyle="1" w:styleId="a6">
    <w:name w:val="Основной текст Знак"/>
    <w:link w:val="a5"/>
    <w:uiPriority w:val="1"/>
    <w:rsid w:val="00F23D4A"/>
    <w:rPr>
      <w:sz w:val="28"/>
      <w:szCs w:val="28"/>
      <w:lang w:eastAsia="en-US"/>
    </w:rPr>
  </w:style>
  <w:style w:type="paragraph" w:styleId="a7">
    <w:name w:val="Balloon Text"/>
    <w:basedOn w:val="a"/>
    <w:link w:val="a8"/>
    <w:rsid w:val="000B4BE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0B4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50</TotalTime>
  <Pages>8</Pages>
  <Words>2476</Words>
  <Characters>14115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16558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Жуков</cp:lastModifiedBy>
  <cp:revision>31</cp:revision>
  <cp:lastPrinted>2024-12-03T09:48:00Z</cp:lastPrinted>
  <dcterms:created xsi:type="dcterms:W3CDTF">2024-12-03T09:27:00Z</dcterms:created>
  <dcterms:modified xsi:type="dcterms:W3CDTF">2024-12-04T09:57:00Z</dcterms:modified>
</cp:coreProperties>
</file>