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10"/>
        </w:rPr>
      </w:pPr>
      <w:r>
        <w:rPr>
          <w:lang w:val="ru-RU" w:eastAsia="ru-RU"/>
        </w:rPr>
        <w:drawing>
          <wp:inline distT="0" distB="0" distL="0" distR="0">
            <wp:extent cx="584835" cy="72453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33" t="-27" r="-33" b="-27"/>
                    <a:stretch>
                      <a:fillRect/>
                    </a:stretch>
                  </pic:blipFill>
                  <pic:spPr bwMode="auto">
                    <a:xfrm>
                      <a:off x="0" y="0"/>
                      <a:ext cx="584835" cy="724535"/>
                    </a:xfrm>
                    <a:prstGeom prst="rect">
                      <a:avLst/>
                    </a:prstGeom>
                  </pic:spPr>
                </pic:pic>
              </a:graphicData>
            </a:graphic>
          </wp:inline>
        </w:drawing>
      </w:r>
    </w:p>
    <w:p>
      <w:pPr>
        <w:pStyle w:val="Normal"/>
        <w:jc w:val="center"/>
        <w:rPr>
          <w:b/>
          <w:b/>
          <w:sz w:val="10"/>
        </w:rPr>
      </w:pPr>
      <w:r>
        <w:rPr>
          <w:b/>
          <w:sz w:val="10"/>
        </w:rPr>
      </w:r>
    </w:p>
    <w:p>
      <w:pPr>
        <w:pStyle w:val="Normal"/>
        <w:jc w:val="center"/>
        <w:rPr>
          <w:b/>
          <w:b/>
          <w:spacing w:val="30"/>
          <w:sz w:val="32"/>
        </w:rPr>
      </w:pPr>
      <w:r>
        <w:rPr>
          <w:b/>
          <w:spacing w:val="30"/>
          <w:sz w:val="32"/>
        </w:rPr>
        <w:t xml:space="preserve">АДМИНИСТРАЦИЯ </w:t>
      </w:r>
    </w:p>
    <w:p>
      <w:pPr>
        <w:pStyle w:val="Normal"/>
        <w:jc w:val="center"/>
        <w:rPr>
          <w:b/>
          <w:b/>
          <w:spacing w:val="30"/>
          <w:sz w:val="28"/>
          <w:szCs w:val="28"/>
        </w:rPr>
      </w:pPr>
      <w:r>
        <w:rPr>
          <w:b/>
          <w:spacing w:val="30"/>
          <w:sz w:val="28"/>
          <w:szCs w:val="28"/>
        </w:rPr>
        <w:t>НОВОВАРШАВСКОГО МУНИЦИПАЛЬНОГО РАЙОНА</w:t>
      </w:r>
    </w:p>
    <w:p>
      <w:pPr>
        <w:pStyle w:val="Normal"/>
        <w:jc w:val="center"/>
        <w:rPr>
          <w:b/>
          <w:b/>
          <w:spacing w:val="30"/>
          <w:sz w:val="28"/>
          <w:szCs w:val="28"/>
        </w:rPr>
      </w:pPr>
      <w:r>
        <w:rPr>
          <w:b/>
          <w:spacing w:val="30"/>
          <w:sz w:val="28"/>
          <w:szCs w:val="28"/>
        </w:rPr>
        <w:t>ОМСКОЙ ОБЛАСТИ</w:t>
      </w:r>
    </w:p>
    <w:p>
      <w:pPr>
        <w:pStyle w:val="Normal"/>
        <w:jc w:val="center"/>
        <w:rPr>
          <w:b/>
          <w:b/>
          <w:sz w:val="20"/>
          <w:szCs w:val="28"/>
        </w:rPr>
      </w:pPr>
      <w:r>
        <w:rPr>
          <w:b/>
          <w:sz w:val="20"/>
          <w:szCs w:val="28"/>
        </w:rPr>
      </w:r>
    </w:p>
    <w:p>
      <w:pPr>
        <w:pStyle w:val="Normal"/>
        <w:jc w:val="center"/>
        <w:rPr/>
      </w:pPr>
      <w:r>
        <w:rPr/>
        <w:t>ПОСТАНОВЛЕНИЕ</w:t>
      </w:r>
    </w:p>
    <w:tbl>
      <w:tblPr>
        <w:tblW w:w="9993" w:type="dxa"/>
        <w:jc w:val="left"/>
        <w:tblInd w:w="0" w:type="dxa"/>
        <w:tblCellMar>
          <w:top w:w="0" w:type="dxa"/>
          <w:left w:w="70" w:type="dxa"/>
          <w:bottom w:w="0" w:type="dxa"/>
          <w:right w:w="70" w:type="dxa"/>
        </w:tblCellMar>
      </w:tblPr>
      <w:tblGrid>
        <w:gridCol w:w="1913"/>
        <w:gridCol w:w="697"/>
        <w:gridCol w:w="1146"/>
        <w:gridCol w:w="3118"/>
        <w:gridCol w:w="3119"/>
      </w:tblGrid>
      <w:tr>
        <w:trPr/>
        <w:tc>
          <w:tcPr>
            <w:tcW w:w="9993" w:type="dxa"/>
            <w:gridSpan w:val="5"/>
            <w:tcBorders>
              <w:top w:val="single" w:sz="12" w:space="0" w:color="000000"/>
            </w:tcBorders>
          </w:tcPr>
          <w:p>
            <w:pPr>
              <w:pStyle w:val="Normal"/>
              <w:snapToGrid w:val="false"/>
              <w:jc w:val="center"/>
              <w:rPr>
                <w:b/>
                <w:b/>
                <w:spacing w:val="40"/>
                <w:sz w:val="4"/>
              </w:rPr>
            </w:pPr>
            <w:r>
              <w:rPr>
                <w:b/>
                <w:spacing w:val="40"/>
                <w:sz w:val="4"/>
              </w:rPr>
            </w:r>
          </w:p>
        </w:tc>
      </w:tr>
      <w:tr>
        <w:trPr/>
        <w:tc>
          <w:tcPr>
            <w:tcW w:w="9993" w:type="dxa"/>
            <w:gridSpan w:val="5"/>
            <w:tcBorders>
              <w:top w:val="single" w:sz="24" w:space="0" w:color="000000"/>
            </w:tcBorders>
          </w:tcPr>
          <w:p>
            <w:pPr>
              <w:pStyle w:val="Normal"/>
              <w:snapToGrid w:val="false"/>
              <w:jc w:val="center"/>
              <w:rPr>
                <w:b/>
                <w:b/>
                <w:spacing w:val="40"/>
                <w:sz w:val="10"/>
              </w:rPr>
            </w:pPr>
            <w:r>
              <w:rPr>
                <w:b/>
                <w:spacing w:val="40"/>
                <w:sz w:val="10"/>
              </w:rPr>
            </w:r>
          </w:p>
        </w:tc>
      </w:tr>
      <w:tr>
        <w:trPr/>
        <w:tc>
          <w:tcPr>
            <w:tcW w:w="1913" w:type="dxa"/>
            <w:tcBorders>
              <w:bottom w:val="single" w:sz="6" w:space="0" w:color="000000"/>
            </w:tcBorders>
          </w:tcPr>
          <w:p>
            <w:pPr>
              <w:pStyle w:val="Normal"/>
              <w:jc w:val="center"/>
              <w:rPr>
                <w:sz w:val="26"/>
              </w:rPr>
            </w:pPr>
            <w:r>
              <w:rPr>
                <w:sz w:val="26"/>
              </w:rPr>
              <w:t>18.03.2025</w:t>
            </w:r>
          </w:p>
        </w:tc>
        <w:tc>
          <w:tcPr>
            <w:tcW w:w="697" w:type="dxa"/>
            <w:tcBorders/>
          </w:tcPr>
          <w:p>
            <w:pPr>
              <w:pStyle w:val="Normal"/>
              <w:jc w:val="center"/>
              <w:rPr>
                <w:b/>
                <w:b/>
                <w:sz w:val="26"/>
              </w:rPr>
            </w:pPr>
            <w:r>
              <w:rPr>
                <w:b/>
                <w:sz w:val="26"/>
              </w:rPr>
              <w:t>№</w:t>
            </w:r>
          </w:p>
        </w:tc>
        <w:tc>
          <w:tcPr>
            <w:tcW w:w="1146" w:type="dxa"/>
            <w:tcBorders>
              <w:bottom w:val="single" w:sz="6" w:space="0" w:color="000000"/>
            </w:tcBorders>
          </w:tcPr>
          <w:p>
            <w:pPr>
              <w:pStyle w:val="Normal"/>
              <w:jc w:val="center"/>
              <w:rPr>
                <w:sz w:val="26"/>
              </w:rPr>
            </w:pPr>
            <w:r>
              <w:rPr>
                <w:sz w:val="26"/>
              </w:rPr>
              <w:t>74-п</w:t>
            </w:r>
          </w:p>
        </w:tc>
        <w:tc>
          <w:tcPr>
            <w:tcW w:w="3118" w:type="dxa"/>
            <w:tcBorders/>
          </w:tcPr>
          <w:p>
            <w:pPr>
              <w:pStyle w:val="Normal"/>
              <w:snapToGrid w:val="false"/>
              <w:jc w:val="center"/>
              <w:rPr>
                <w:b/>
                <w:b/>
                <w:sz w:val="28"/>
              </w:rPr>
            </w:pPr>
            <w:r>
              <w:rPr>
                <w:b/>
                <w:sz w:val="28"/>
              </w:rPr>
            </w:r>
          </w:p>
        </w:tc>
        <w:tc>
          <w:tcPr>
            <w:tcW w:w="3119" w:type="dxa"/>
            <w:tcBorders/>
          </w:tcPr>
          <w:p>
            <w:pPr>
              <w:pStyle w:val="Normal"/>
              <w:jc w:val="center"/>
              <w:rPr>
                <w:b/>
                <w:b/>
              </w:rPr>
            </w:pPr>
            <w:r>
              <w:rPr>
                <w:b/>
              </w:rPr>
              <w:t>р. п. Нововаршавка</w:t>
            </w:r>
          </w:p>
        </w:tc>
      </w:tr>
    </w:tbl>
    <w:p>
      <w:pPr>
        <w:pStyle w:val="Style24"/>
        <w:bidi w:val="0"/>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pPr>
      <w:r>
        <w:rPr/>
        <w:t xml:space="preserve">О внесении изменений в постановление Администрации </w:t>
      </w:r>
    </w:p>
    <w:p>
      <w:pPr>
        <w:pStyle w:val="Normal"/>
        <w:jc w:val="center"/>
        <w:rPr/>
      </w:pPr>
      <w:r>
        <w:rPr/>
        <w:t xml:space="preserve">Нововаршавского муниципального района Омской области </w:t>
      </w:r>
    </w:p>
    <w:p>
      <w:pPr>
        <w:pStyle w:val="Normal"/>
        <w:jc w:val="center"/>
        <w:rPr/>
      </w:pPr>
      <w:r>
        <w:rPr/>
        <w:t>от 30 декабря 2015 года № 882-п «О ведении и формировании реестра муниципальных маршрутов регулярных перевозок на территории Нововаршавского муниципального района Омской области»</w:t>
      </w:r>
    </w:p>
    <w:p>
      <w:pPr>
        <w:pStyle w:val="Normal"/>
        <w:rPr/>
      </w:pPr>
      <w:r>
        <w:rPr/>
      </w:r>
    </w:p>
    <w:p>
      <w:pPr>
        <w:pStyle w:val="Normal"/>
        <w:ind w:left="0" w:right="0" w:firstLine="567"/>
        <w:jc w:val="both"/>
        <w:rPr/>
      </w:pPr>
      <w:r>
        <w:rPr/>
        <w:t>В соответствии с требованиями Федерального закона от 13 июля 2015 года № 220-ФЗ «</w:t>
      </w:r>
      <w:r>
        <w:rPr>
          <w:bC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b/>
          <w:bCs/>
        </w:rPr>
        <w:t>»</w:t>
      </w:r>
      <w:r>
        <w:rPr/>
        <w:t>,</w:t>
      </w:r>
      <w:r>
        <w:rPr>
          <w:b/>
        </w:rPr>
        <w:t xml:space="preserve"> </w:t>
      </w:r>
      <w:r>
        <w:rPr/>
        <w:t>руководствуясь ст. 30 Устава Нововаршавского муниципального района Омской области, ПОСТАНОВЛЯЮ:</w:t>
      </w:r>
    </w:p>
    <w:p>
      <w:pPr>
        <w:pStyle w:val="Normal"/>
        <w:ind w:left="0" w:right="0" w:firstLine="567"/>
        <w:jc w:val="both"/>
        <w:rPr/>
      </w:pPr>
      <w:r>
        <w:rPr/>
        <w:t>1. Реестр муниципальных маршрутов регулярных перевозок на территории Нововаршавского муниципального района Омской области, утвержденный постановлением Администрации Нововаршавского муниципального района Омской области от 30 декабря 2015 года № 882-п, изложить в редакции согласно приложению, к настоящему постановлению.</w:t>
      </w:r>
    </w:p>
    <w:p>
      <w:pPr>
        <w:pStyle w:val="Normal"/>
        <w:ind w:left="0" w:right="0" w:firstLine="567"/>
        <w:jc w:val="both"/>
        <w:rPr/>
      </w:pPr>
      <w:r>
        <w:rPr/>
        <w:t>2. Опубликовать настоящее постановление в печатном средстве массовой информации «Вестник Нововаршавского района» и разместить на официальном сайте Нововаршавского муниципального района Омской области в информационно-телекоммуникационной сети «Интернет».</w:t>
      </w:r>
    </w:p>
    <w:p>
      <w:pPr>
        <w:pStyle w:val="Normal"/>
        <w:ind w:left="0" w:right="0" w:firstLine="567"/>
        <w:jc w:val="both"/>
        <w:rPr/>
      </w:pPr>
      <w:r>
        <w:rPr/>
        <w:t xml:space="preserve">3. </w:t>
      </w:r>
      <w:r>
        <w:rPr>
          <w:rFonts w:cs="Arial"/>
        </w:rPr>
        <w:t>Контроль за исполнением настоящего постановления возложить на первого заместителя главы Нововаршавского муниципального района Омской области, председателя комитета по жизнеобеспечению, архитектуре и строительству Администрации Нововаршавского муниципального района Омской области.</w:t>
      </w:r>
    </w:p>
    <w:p>
      <w:pPr>
        <w:pStyle w:val="Normal"/>
        <w:ind w:left="0" w:right="0" w:firstLine="708"/>
        <w:jc w:val="both"/>
        <w:rPr/>
      </w:pPr>
      <w:r>
        <w:rPr/>
      </w:r>
    </w:p>
    <w:p>
      <w:pPr>
        <w:pStyle w:val="Style24"/>
        <w:bidi w:val="0"/>
        <w:jc w:val="both"/>
        <w:rPr>
          <w:rFonts w:ascii="Times New Roman" w:hAnsi="Times New Roman" w:cs="Times New Roman"/>
          <w:sz w:val="24"/>
          <w:szCs w:val="24"/>
        </w:rPr>
      </w:pPr>
      <w:r>
        <w:rPr>
          <w:rFonts w:cs="Times New Roman" w:ascii="Times New Roman" w:hAnsi="Times New Roman"/>
          <w:sz w:val="24"/>
          <w:szCs w:val="24"/>
        </w:rPr>
      </w:r>
    </w:p>
    <w:tbl>
      <w:tblPr>
        <w:tblW w:w="9570" w:type="dxa"/>
        <w:jc w:val="center"/>
        <w:tblInd w:w="0" w:type="dxa"/>
        <w:tblCellMar>
          <w:top w:w="0" w:type="dxa"/>
          <w:left w:w="108" w:type="dxa"/>
          <w:bottom w:w="0" w:type="dxa"/>
          <w:right w:w="108" w:type="dxa"/>
        </w:tblCellMar>
      </w:tblPr>
      <w:tblGrid>
        <w:gridCol w:w="4077"/>
        <w:gridCol w:w="3402"/>
        <w:gridCol w:w="2091"/>
      </w:tblGrid>
      <w:tr>
        <w:trPr/>
        <w:tc>
          <w:tcPr>
            <w:tcW w:w="4077" w:type="dxa"/>
            <w:tcBorders/>
          </w:tcPr>
          <w:p>
            <w:pPr>
              <w:pStyle w:val="Style24"/>
              <w:bidi w:val="0"/>
              <w:jc w:val="both"/>
              <w:rPr>
                <w:rFonts w:ascii="Times New Roman" w:hAnsi="Times New Roman" w:cs="Times New Roman"/>
                <w:sz w:val="24"/>
                <w:szCs w:val="24"/>
              </w:rPr>
            </w:pPr>
            <w:r>
              <w:rPr>
                <w:rFonts w:cs="Times New Roman" w:ascii="Times New Roman" w:hAnsi="Times New Roman"/>
                <w:sz w:val="24"/>
                <w:szCs w:val="24"/>
              </w:rPr>
              <w:t>Глава муниципального района</w:t>
            </w:r>
          </w:p>
          <w:p>
            <w:pPr>
              <w:pStyle w:val="Style24"/>
              <w:bidi w:val="0"/>
              <w:jc w:val="both"/>
              <w:rPr>
                <w:rFonts w:ascii="Times New Roman" w:hAnsi="Times New Roman" w:cs="Times New Roman"/>
                <w:sz w:val="24"/>
                <w:szCs w:val="24"/>
              </w:rPr>
            </w:pPr>
            <w:r>
              <w:rPr>
                <w:rFonts w:cs="Times New Roman" w:ascii="Times New Roman" w:hAnsi="Times New Roman"/>
                <w:sz w:val="24"/>
                <w:szCs w:val="24"/>
              </w:rPr>
              <w:t>Омской области</w:t>
            </w:r>
          </w:p>
        </w:tc>
        <w:tc>
          <w:tcPr>
            <w:tcW w:w="3402" w:type="dxa"/>
            <w:tcBorders/>
          </w:tcPr>
          <w:p>
            <w:pPr>
              <w:pStyle w:val="Style24"/>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2091" w:type="dxa"/>
            <w:tcBorders/>
          </w:tcPr>
          <w:p>
            <w:pPr>
              <w:pStyle w:val="Style24"/>
              <w:bidi w:val="0"/>
              <w:jc w:val="right"/>
              <w:rPr>
                <w:rFonts w:ascii="Times New Roman" w:hAnsi="Times New Roman" w:cs="Times New Roman"/>
                <w:sz w:val="24"/>
                <w:szCs w:val="24"/>
              </w:rPr>
            </w:pPr>
            <w:r>
              <w:rPr>
                <w:rFonts w:cs="Times New Roman" w:ascii="Times New Roman" w:hAnsi="Times New Roman"/>
                <w:sz w:val="24"/>
                <w:szCs w:val="24"/>
              </w:rPr>
              <w:t>В.А. Шефер</w:t>
            </w:r>
          </w:p>
        </w:tc>
      </w:tr>
    </w:tbl>
    <w:p>
      <w:pPr>
        <w:pStyle w:val="Style24"/>
        <w:bidi w:val="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ab/>
      </w:r>
    </w:p>
    <w:p>
      <w:pPr>
        <w:sectPr>
          <w:type w:val="nextPage"/>
          <w:pgSz w:w="11906" w:h="16838"/>
          <w:pgMar w:left="1701" w:right="851" w:header="0" w:top="851" w:footer="0" w:bottom="851" w:gutter="0"/>
          <w:pgNumType w:fmt="decimal"/>
          <w:formProt w:val="false"/>
          <w:textDirection w:val="lrTb"/>
          <w:docGrid w:type="default" w:linePitch="360" w:charSpace="0"/>
        </w:sectPr>
        <w:pStyle w:val="Normal"/>
        <w:jc w:val="both"/>
        <w:rPr>
          <w:sz w:val="16"/>
          <w:szCs w:val="16"/>
        </w:rPr>
      </w:pPr>
      <w:r>
        <w:rPr>
          <w:sz w:val="16"/>
          <w:szCs w:val="16"/>
        </w:rPr>
      </w:r>
    </w:p>
    <w:tbl>
      <w:tblPr>
        <w:tblW w:w="15843" w:type="dxa"/>
        <w:jc w:val="left"/>
        <w:tblInd w:w="0" w:type="dxa"/>
        <w:tblCellMar>
          <w:top w:w="0" w:type="dxa"/>
          <w:left w:w="108" w:type="dxa"/>
          <w:bottom w:w="0" w:type="dxa"/>
          <w:right w:w="108" w:type="dxa"/>
        </w:tblCellMar>
      </w:tblPr>
      <w:tblGrid>
        <w:gridCol w:w="10456"/>
        <w:gridCol w:w="5387"/>
      </w:tblGrid>
      <w:tr>
        <w:trPr/>
        <w:tc>
          <w:tcPr>
            <w:tcW w:w="10456" w:type="dxa"/>
            <w:tcBorders/>
          </w:tcPr>
          <w:p>
            <w:pPr>
              <w:pStyle w:val="Normal"/>
              <w:snapToGrid w:val="false"/>
              <w:jc w:val="both"/>
              <w:rPr>
                <w:sz w:val="28"/>
                <w:szCs w:val="28"/>
              </w:rPr>
            </w:pPr>
            <w:r>
              <w:rPr>
                <w:sz w:val="28"/>
                <w:szCs w:val="28"/>
              </w:rPr>
            </w:r>
          </w:p>
        </w:tc>
        <w:tc>
          <w:tcPr>
            <w:tcW w:w="5387" w:type="dxa"/>
            <w:tcBorders/>
          </w:tcPr>
          <w:p>
            <w:pPr>
              <w:pStyle w:val="Normal"/>
              <w:jc w:val="both"/>
              <w:rPr>
                <w:sz w:val="28"/>
                <w:szCs w:val="28"/>
              </w:rPr>
            </w:pPr>
            <w:r>
              <w:rPr>
                <w:sz w:val="28"/>
                <w:szCs w:val="28"/>
              </w:rPr>
              <w:t>Приложение к постановлению</w:t>
            </w:r>
          </w:p>
          <w:p>
            <w:pPr>
              <w:pStyle w:val="Normal"/>
              <w:rPr>
                <w:sz w:val="28"/>
                <w:szCs w:val="28"/>
              </w:rPr>
            </w:pPr>
            <w:r>
              <w:rPr>
                <w:sz w:val="28"/>
                <w:szCs w:val="28"/>
              </w:rPr>
              <w:t>Администрации Нововаршавского муниципального района Омской области</w:t>
            </w:r>
          </w:p>
        </w:tc>
      </w:tr>
      <w:tr>
        <w:trPr/>
        <w:tc>
          <w:tcPr>
            <w:tcW w:w="10456" w:type="dxa"/>
            <w:tcBorders/>
          </w:tcPr>
          <w:p>
            <w:pPr>
              <w:pStyle w:val="Normal"/>
              <w:snapToGrid w:val="false"/>
              <w:jc w:val="both"/>
              <w:rPr>
                <w:sz w:val="28"/>
                <w:szCs w:val="28"/>
              </w:rPr>
            </w:pPr>
            <w:r>
              <w:rPr>
                <w:sz w:val="28"/>
                <w:szCs w:val="28"/>
              </w:rPr>
            </w:r>
          </w:p>
        </w:tc>
        <w:tc>
          <w:tcPr>
            <w:tcW w:w="5387" w:type="dxa"/>
            <w:tcBorders/>
          </w:tcPr>
          <w:p>
            <w:pPr>
              <w:pStyle w:val="Normal"/>
              <w:jc w:val="both"/>
              <w:rPr>
                <w:sz w:val="28"/>
                <w:szCs w:val="28"/>
              </w:rPr>
            </w:pPr>
            <w:r>
              <w:rPr>
                <w:sz w:val="28"/>
                <w:szCs w:val="28"/>
              </w:rPr>
              <w:t>от «18» марта 2025 года № 74-п</w:t>
            </w:r>
          </w:p>
        </w:tc>
      </w:tr>
      <w:tr>
        <w:trPr/>
        <w:tc>
          <w:tcPr>
            <w:tcW w:w="10456" w:type="dxa"/>
            <w:tcBorders/>
          </w:tcPr>
          <w:p>
            <w:pPr>
              <w:pStyle w:val="Normal"/>
              <w:snapToGrid w:val="false"/>
              <w:jc w:val="both"/>
              <w:rPr>
                <w:sz w:val="28"/>
                <w:szCs w:val="28"/>
              </w:rPr>
            </w:pPr>
            <w:r>
              <w:rPr>
                <w:sz w:val="28"/>
                <w:szCs w:val="28"/>
              </w:rPr>
            </w:r>
          </w:p>
        </w:tc>
        <w:tc>
          <w:tcPr>
            <w:tcW w:w="5387" w:type="dxa"/>
            <w:tcBorders/>
          </w:tcPr>
          <w:p>
            <w:pPr>
              <w:pStyle w:val="Normal"/>
              <w:snapToGrid w:val="false"/>
              <w:jc w:val="both"/>
              <w:rPr>
                <w:sz w:val="28"/>
                <w:szCs w:val="28"/>
              </w:rPr>
            </w:pPr>
            <w:r>
              <w:rPr>
                <w:sz w:val="28"/>
                <w:szCs w:val="28"/>
              </w:rPr>
            </w:r>
          </w:p>
        </w:tc>
      </w:tr>
      <w:tr>
        <w:trPr/>
        <w:tc>
          <w:tcPr>
            <w:tcW w:w="10456" w:type="dxa"/>
            <w:tcBorders/>
          </w:tcPr>
          <w:p>
            <w:pPr>
              <w:pStyle w:val="Normal"/>
              <w:snapToGrid w:val="false"/>
              <w:jc w:val="both"/>
              <w:rPr>
                <w:sz w:val="28"/>
                <w:szCs w:val="28"/>
              </w:rPr>
            </w:pPr>
            <w:r>
              <w:rPr>
                <w:sz w:val="28"/>
                <w:szCs w:val="28"/>
              </w:rPr>
            </w:r>
          </w:p>
        </w:tc>
        <w:tc>
          <w:tcPr>
            <w:tcW w:w="5387" w:type="dxa"/>
            <w:tcBorders/>
          </w:tcPr>
          <w:p>
            <w:pPr>
              <w:pStyle w:val="Normal"/>
              <w:jc w:val="both"/>
              <w:rPr>
                <w:sz w:val="28"/>
                <w:szCs w:val="28"/>
              </w:rPr>
            </w:pPr>
            <w:r>
              <w:rPr>
                <w:sz w:val="28"/>
                <w:szCs w:val="28"/>
              </w:rPr>
              <w:t>«Приложение 2 к постановлению</w:t>
            </w:r>
          </w:p>
          <w:p>
            <w:pPr>
              <w:pStyle w:val="Normal"/>
              <w:jc w:val="both"/>
              <w:rPr>
                <w:sz w:val="28"/>
                <w:szCs w:val="28"/>
              </w:rPr>
            </w:pPr>
            <w:r>
              <w:rPr>
                <w:sz w:val="28"/>
                <w:szCs w:val="28"/>
              </w:rPr>
              <w:t>Администрации муниципального района</w:t>
            </w:r>
          </w:p>
          <w:p>
            <w:pPr>
              <w:pStyle w:val="Normal"/>
              <w:jc w:val="both"/>
              <w:rPr>
                <w:sz w:val="28"/>
                <w:szCs w:val="28"/>
              </w:rPr>
            </w:pPr>
            <w:r>
              <w:rPr>
                <w:sz w:val="28"/>
                <w:szCs w:val="28"/>
              </w:rPr>
              <w:t>от 30 декабря 2015 года № 882-п</w:t>
            </w:r>
          </w:p>
        </w:tc>
      </w:tr>
    </w:tbl>
    <w:p>
      <w:pPr>
        <w:pStyle w:val="Normal"/>
        <w:jc w:val="both"/>
        <w:rPr>
          <w:sz w:val="16"/>
          <w:szCs w:val="16"/>
        </w:rPr>
      </w:pPr>
      <w:r>
        <w:rPr>
          <w:sz w:val="16"/>
          <w:szCs w:val="16"/>
        </w:rPr>
      </w:r>
    </w:p>
    <w:p>
      <w:pPr>
        <w:pStyle w:val="Normal"/>
        <w:jc w:val="center"/>
        <w:rPr/>
      </w:pPr>
      <w:bookmarkStart w:id="0" w:name="RANGE!A1%253AM34"/>
      <w:bookmarkEnd w:id="0"/>
      <w:r>
        <w:rPr/>
        <w:t>Реестр муниципальных маршрутов регулярных перевозок на территории Нововаршавского муниципального района Омской области</w:t>
      </w:r>
    </w:p>
    <w:p>
      <w:pPr>
        <w:pStyle w:val="Normal"/>
        <w:jc w:val="both"/>
        <w:rPr>
          <w:sz w:val="18"/>
          <w:szCs w:val="18"/>
        </w:rPr>
      </w:pPr>
      <w:r>
        <w:rPr>
          <w:sz w:val="18"/>
          <w:szCs w:val="18"/>
        </w:rPr>
      </w:r>
    </w:p>
    <w:tbl>
      <w:tblPr>
        <w:tblW w:w="15920" w:type="dxa"/>
        <w:jc w:val="left"/>
        <w:tblInd w:w="-10" w:type="dxa"/>
        <w:tblCellMar>
          <w:top w:w="0" w:type="dxa"/>
          <w:left w:w="108" w:type="dxa"/>
          <w:bottom w:w="0" w:type="dxa"/>
          <w:right w:w="108" w:type="dxa"/>
        </w:tblCellMar>
      </w:tblPr>
      <w:tblGrid>
        <w:gridCol w:w="1138"/>
        <w:gridCol w:w="1122"/>
        <w:gridCol w:w="1110"/>
        <w:gridCol w:w="1050"/>
        <w:gridCol w:w="1168"/>
        <w:gridCol w:w="1016"/>
        <w:gridCol w:w="1025"/>
        <w:gridCol w:w="975"/>
        <w:gridCol w:w="943"/>
        <w:gridCol w:w="1029"/>
        <w:gridCol w:w="995"/>
        <w:gridCol w:w="1667"/>
        <w:gridCol w:w="1004"/>
        <w:gridCol w:w="1169"/>
        <w:gridCol w:w="509"/>
      </w:tblGrid>
      <w:tr>
        <w:trPr>
          <w:trHeight w:val="3961"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Регистрационный номер маршрута регулярных перевозок в соответствующем реестре</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Порядковый номер маршрута регулярных перевозок, присвоенный уполномоченным органом исполнительной власти</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Протяженность маршрута регулярных перевозок, км.</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Порядок посадки и высадки пассажиров </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Вид регулярных перевозок</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Экологические характеристики транспортных средств, которые используются для перевозок по маршруту регулярных перевозок</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Дата начала осуществления регулярных перевозок</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Наименования, места нахождения, ОГРН (для юридического лица), Ф.И.О., место жительства, ОГРН (для индивидуального предпринимателя), идентификационный номер налогоплательщика, адрес электронной почты</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Срок действия контракта или срок действия свидетельства об осуществлении перевозок по маршруту регулярных перевозок</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161"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2</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3</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4</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5</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6</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7</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8</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9</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10</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11</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12</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13</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14</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2379"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101</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Нововаршавка-Молодежное</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Красный Яр, Новороссийка, Каразюк, Победа</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Красный путь), а/д Нововаршавка-Ермак, Красный Яр (ул. Заводская), а/д Красный Яр-Победа, Победа (ул. Юбилейная, ул. Центральная), а/д Победа-Молодежное, д. Молодежное (ул. Зеленая)</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33</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1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АО "ОМСКОБЛАВТОТРАНС", 644119, г. Омск, ул. Комарова, д. 2, 646830, Омская область, Нововаршавский район, р.п. Нововаршавка, ул. Пролетарская, д. 7. ОГРН 1145543032843, ИНН 5507249611, info@omskoblauto.ru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 01.03.2025 по 31.03.2025</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2415"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2</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102</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Нововаршавка-Победа</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Красный Яр, Новороссийка, Каразюк</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Красный путь), а/д Нововаршавка-Ермак, Красный Яр (ул. Заводская), а/д Красный Яр-Победа, Новороссийка (ул. Степная), Победа (ул. Юбилейная, ул. Центральная)</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24</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1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АО "ОМСКОБЛАВТОТРАНС", 644119, г. Омск, ул. Комарова, д. 2, 646830, Омская область, Нововаршавский район, р.п. Нововаршавка, ул. Пролетарская, д. 7. ОГРН 1145543032843, ИНН 5507249611, info@omskoblauto.ru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 01.03.2025 по 31.03.2025</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2379"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3</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103</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Нововаршавка-Новоивановка</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Изумрудное, Рассохино, Заречное, </w:t>
            </w:r>
          </w:p>
          <w:p>
            <w:pPr>
              <w:pStyle w:val="Normal"/>
              <w:jc w:val="center"/>
              <w:rPr>
                <w:sz w:val="12"/>
                <w:szCs w:val="12"/>
              </w:rPr>
            </w:pPr>
            <w:r>
              <w:rPr>
                <w:sz w:val="12"/>
                <w:szCs w:val="12"/>
              </w:rPr>
              <w:t xml:space="preserve">Жар-Агач </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Транспортная или ул. Зеленая, ул. Есенина), а/д Нововаршавка-Заречное, Изумрудное (ул. Октябрьская, ул. Центральная), Рассохино (ул. Центральная), Заречное (ул. Степная, ул. Северная, ул. Новая), заезд в а. Жар-Агач), Новоивановка (ул. Новоивановская)</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48</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1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АО "ОМСКОБЛАВТОТРАНС", 644119, г. Омск, ул. Комарова, д. 2, 646830, Омская область, Нововаршавский район, р.п. Нововаршавка, ул. Пролетарская, д. 7. ОГРН 1145543032843, ИНН 5507249611, info@omskoblauto.ru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 01.03.2025 по 31.03.2025</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2445"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4</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104</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Нововаршавка-Заречное</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Изумрудное, Рассохино</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Транспортная или ул. Зеленая, ул. Есенина), а/д Нововаршавка-Заречное, Изумрудное (ул. Октябрьская, ул. Центральная), Рассохино (ул. Центральная), Заречное (ул. Степная, ул. Северная, ул. Новая)</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30</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1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АО "ОМСКОБЛАВТОТРАНС", 644119, г. Омск, ул. Комарова, д. 2, 646830, Омская область, Нововаршавский район, р.п. Нововаршавка, ул. Пролетарская, д. 7. ОГРН 1145543032843, ИНН 5507249611, info@omskoblauto.ru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 01.03.2025 по 31.03.2025</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2828"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5</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105</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Нововаршавка-Бобринка</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Любовский</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Транспортная или ул. Зеленая, ул. Есенина), а/д Нововаршавка-Омск, Любовский (ул. Центральная), Бобринка (ул. Ленина)</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34/38</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1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АО "ОМСКОБЛАВТОТРАНС", 644119, г. Омск, ул. Комарова, д. 2, 646830, Омская область, Нововаршавский район, р.п. Нововаршавка, ул. Пролетарская, д. 7. ОГРН 1145543032843, ИНН 5507249611, info@omskoblauto.ru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 01.03.2025 по 31.03.2025</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 Постановление Администрация Нововаршавского муниципального района Омской области от 14 октября 2022 года № 629-п (изменение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2445"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6</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106</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Нововаршавка-Богдановка</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Красный Яр</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Красный путь), а/д Нововаршавка-Ермак, Красный Яр (ул. Заводская), а/д Красный Яр-Богдановка, Богдановка (ул. Новосельская)</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12</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1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АО "ОМСКОБЛАВТОТРАНС", 644119, г. Омск, ул. Комарова, д. 2, 646830, Омская область, Нововаршавский район, р.п. Нововаршавка, ул. Пролетарская, д. 7. ОГРН 1145543032843, ИНН 5507249611, info@omskoblauto.ru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 01.03.2025 по 31.03.2025</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2445"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7</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107</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Нововаршавка-Русановка</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Транспортная или ул. Зеленая, ул. Есенина), а/д Нововаршавка-Омск, Русановка (ул. Рассохина)</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15</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1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3395"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8</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108</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Нововаршавка-Русановка</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Славянка, Любовка, Нетесово, Любовский</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Транспортная или ул. Зеленая, ул. Есенина), а/д Нововаршавка-Омск, с. Славянка (ул. Рассохина), а/д Нововаршавка-Омск, ст. Любовка (ул. Вокзальная), Нетесово (ул. Степная, ул. Гагарина), Любовка (ул. Вокзальная), Любовский (ул. Центральная) , а/д Омск-Нововаршавка, Русановка (ул. Рассохина)</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68/15</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1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АО "ОМСКОБЛАВТОТРАНС", 644119, г. Омск, ул. Комарова, д. 2, 646830, Омская область, Нововаршавский район, р.п. Нововаршавка, ул. Пролетарская, д. 7. ОГРН 1145543032843, ИНН 5507249611, info@omskoblauto.ru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 01.03.2025 по 31.03.2025</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2385"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9</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111</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Нововаршавка-Славянка</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Русановка</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Транспортная или ул. Зеленая, ул. Есенина), а/д Нововаршавка-Омск, Русановка (ул. Рассохина), Славянка (ул. Рассохина)</w:t>
            </w:r>
          </w:p>
        </w:tc>
        <w:tc>
          <w:tcPr>
            <w:tcW w:w="1016"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18/23</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1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АО "ОМСКОБЛАВТОТРАНС", 644119, г. Омск, ул. Комарова, д. 2, 646830, Омская область, Нововаршавский район, р.п. Нововаршавка, ул. Пролетарская, д. 7. ОГРН 1145543032843, ИНН 5507249611, info@omskoblauto.ru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 01.03.2025 по 31.03.2025</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2385"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10</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112</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Нововаршавка-Нетесово</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Русановка, Славянка, Любовка</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Транспортная или ул. Зеленая, ул. Есенина), а/д Нововаршавка-Омск, Русановка (ул. Рассохина), Славянка (ул. Рассохина), Любовка (ул. Вокзальная), Нетесово ул. Степная)</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43</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1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АО "ОМСКОБЛАВТОТРАНС", 644119, г. Омск, ул. Комарова, д. 2, 646830, Омская область, Нововаршавский район, р.п. Нововаршавка, ул. Пролетарская, д. 7. ОГРН 1145543032843, ИНН 5507249611, info@omskoblauto.ru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 01.03.2025 по 31.03.2025</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2385"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11</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114</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Любовка</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Русановка, Любовский, Славянка</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Транспортная или ул. Зеленая, ул. Есенина), а/д Нововаршавка-Омск, Русановка (ул. Рассохина), Славянка (ул. Рассохина), а/д Нововаршавка-Омск, Любовский (ул. Центральная), Любовка (ул. Вокзальная)</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29/24,5/34</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1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АО "ОМСКОБЛАВТОТРАНС", 644119, г. Омск, ул. Комарова, д. 2, 646830, Омская область, Нововаршавский район, р.п. Нововаршавка, ул. Пролетарская, д. 7. ОГРН 1145543032843, ИНН 5507249611, info@omskoblauto.ru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 01.03.2025 по 31.03.2025</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2385"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12</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116</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Любовка</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Транспортная или ул. Зеленая, ул. Есенина), а/д Нововаршавка-Омск, Любовка (ул. Вокзальная)</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20</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1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АО "ОМСКОБЛАВТОТРАНС", 644119, г. Омск, ул. Комарова, д. 2, 646830, Омская область, Нововаршавский район, р.п. Нововаршавка, ул. Пролетарская, д. 7. ОГРН 1145543032843, ИНН 5507249611, info@omskoblauto.ru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 01.03.2025 по 31.03.2025</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2445"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13</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117</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Нововаршавка-Новороссийка</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Красный Яр</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Красный путь), а/д Нововаршавка-Ермак, Красный Яр (ул. Заводская), а/д Красный Яр-Победа, Новороссийка (ул. Центральная, ул. Юбилейная)</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10</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1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АО "ОМСКОБЛАВТОТРАНС", 644119, г. Омск, ул. Комарова, д. 2, 646830, Омская область, Нововаршавский район, р.п. Нововаршавка, ул. Пролетарская, д. 7. ОГРН 1145543032843, ИНН 5507249611, info@omskoblauto.ru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 01.03.2025 по 31.03.2025</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2969"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14</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Нововаршавка-ст. Иртышская</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Сибирское, Александровка, Береговое, Алкул, Ермак, Алкул</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Красный путь), а/д "Нововаршавка-Алкул"-ст. Иртышская, Сибирское (ул. Школьная), Александровка (ул. Центральная), Береговое (ул. Победы), Алкул (аул Алкул, а/д "Нововаршавка-Ермак"), Ермак (ул. Мира), Алкул (аул Алкул, а/д "Нововаршавка-Ермак"), ст. Иртышская (ул. Мира)</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57</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2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2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АО "ОМСКОБЛАВТОТРАНС", 644119, г. Омск, ул. Комарова, д. 2, 646830, Омская область, Нововаршавский район, р.п. Нововаршавка, ул. Пролетарская, д. 7. ОГРН 1145543032843, ИНН 5507249611, info@omskoblauto.ru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 01.03.2025 по 31.03.2025</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2756"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15</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2</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Нововаршавка-Черлакское</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Дробышево, Моисеевка, Платоновка, Кызылтан, Пичугино</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Красный путь), а/д "Нововаршавка-Дробышево-Черлакское", Дробышево (ул. Центральная), Моисеевка (ул. Нижняя), Платоновка (ул. Люкота Сагандыкова/), Кызылтан (ул. Центральная), Пичугино (ул. Центральная), Черлакское (ул. Центральная)</w:t>
            </w:r>
          </w:p>
        </w:tc>
        <w:tc>
          <w:tcPr>
            <w:tcW w:w="1016"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62/74</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1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АО "ОМСКОБЛАВТОТРАНС", 644119, г. Омск, ул. Комарова, д. 2, 646830, Омская область, Нововаршавский район, р.п. Нововаршавка, ул. Пролетарская, д. 7. ОГРН 1145543032843, ИНН 5507249611, info@omskoblauto.ru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 01.03.2025 по 31.03.2025</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3249"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16</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3</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Нововаршавка-Дачи</w:t>
            </w:r>
          </w:p>
        </w:tc>
        <w:tc>
          <w:tcPr>
            <w:tcW w:w="1050"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Сибирское, Александровка, Береговое, Алкул, Ермак, Алкул, ст. Иртышская</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Красный путь), а/д "Нововаршавка-Алкул"-ст. Иртышская, Сибирское (ул. Школьная), Александровка (ул. Центральная), Береговое (ул. Победы), Алкул (аул Алкул, а/д "Нововаршавка-Ермак"), Ермак (ул. Мира), Алкул (аул Алкул, а/д "Нововаршавка-Ермак"), ст. Иртышская (ул. Мира), Дачи (жд/платформа 172 км)</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69</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1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3111"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17</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4</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Нововаршавка-Караман</w:t>
            </w:r>
          </w:p>
        </w:tc>
        <w:tc>
          <w:tcPr>
            <w:tcW w:w="1050"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Сибирское, Александровка, Береговое, Алкул, Ермак, Алкул, ст. Иртышская</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Нововаршавка (ул. Весна, ул. Красный путь), а/д "Нововаршавка-Алкул"-ст. Иртышская, Сибирское (ул. Школьная), Александровка (ул. Центральная), Береговое (ул. Победы), Алкул (аул Алкул, а/д "Нововаршавка-Ермак"), Ермак (ул. Мира), Алкул (аул Алкул, а/д "Нововаршавка-Ермак"), ст. Иртышская (ул. Мира), Караман (ул. Школьная)</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75</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1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xml:space="preserve">АО "ОМСКОБЛАВТОТРАНС", 644119, г. Омск, ул. Комарова, д. 2, 646830, Омская область, Нововаршавский район, р.п. Нововаршавка, ул. Пролетарская, д. 7. ОГРН 1145543032843, ИНН 5507249611, info@omskoblauto.ru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с 01.03.2025 по 31.03.2025</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tcPr>
          <w:p>
            <w:pPr>
              <w:pStyle w:val="Normal"/>
              <w:snapToGrid w:val="false"/>
              <w:jc w:val="center"/>
              <w:rPr>
                <w:sz w:val="12"/>
                <w:szCs w:val="12"/>
              </w:rPr>
            </w:pPr>
            <w:r>
              <w:rPr>
                <w:sz w:val="12"/>
                <w:szCs w:val="12"/>
              </w:rPr>
            </w:r>
          </w:p>
        </w:tc>
      </w:tr>
      <w:tr>
        <w:trPr>
          <w:trHeight w:val="3090" w:hRule="atLeast"/>
        </w:trPr>
        <w:tc>
          <w:tcPr>
            <w:tcW w:w="113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18</w:t>
            </w:r>
          </w:p>
        </w:tc>
        <w:tc>
          <w:tcPr>
            <w:tcW w:w="1122"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5</w:t>
            </w:r>
          </w:p>
        </w:tc>
        <w:tc>
          <w:tcPr>
            <w:tcW w:w="111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Большегривское-Ермак</w:t>
            </w:r>
          </w:p>
        </w:tc>
        <w:tc>
          <w:tcPr>
            <w:tcW w:w="1050"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Алкул, Ермак, Алкул, Береговое, Александровка</w:t>
            </w:r>
          </w:p>
        </w:tc>
        <w:tc>
          <w:tcPr>
            <w:tcW w:w="1168"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Большегривское (ул. Ленина, ул. Мира, ул. Строительная), Алкул (ул. Победы, ул. Центральная), Ермак (ул. Мира), Алкул (ул. Победы, ул. Центральная), Береговое (ул. Победы), Александровка (ул. Центральная), Большегривское (ул. Ленина, ул. Мира, ул. Строительная)</w:t>
            </w:r>
          </w:p>
        </w:tc>
        <w:tc>
          <w:tcPr>
            <w:tcW w:w="1016"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10/26</w:t>
            </w:r>
          </w:p>
        </w:tc>
        <w:tc>
          <w:tcPr>
            <w:tcW w:w="102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регулярные перевозки по не регулируемым тарифам</w:t>
            </w:r>
          </w:p>
        </w:tc>
        <w:tc>
          <w:tcPr>
            <w:tcW w:w="943"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автобус, малый, 2 ед.</w:t>
            </w:r>
          </w:p>
        </w:tc>
        <w:tc>
          <w:tcPr>
            <w:tcW w:w="102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1 ед.-н/у</w:t>
            </w:r>
          </w:p>
        </w:tc>
        <w:tc>
          <w:tcPr>
            <w:tcW w:w="995" w:type="dxa"/>
            <w:tcBorders>
              <w:top w:val="single" w:sz="4" w:space="0" w:color="000000"/>
              <w:left w:val="single" w:sz="4" w:space="0" w:color="000000"/>
              <w:bottom w:val="single" w:sz="4" w:space="0" w:color="000000"/>
            </w:tcBorders>
            <w:shd w:fill="FFFFFF" w:val="clear"/>
          </w:tcPr>
          <w:p>
            <w:pPr>
              <w:pStyle w:val="Normal"/>
              <w:jc w:val="center"/>
              <w:rPr>
                <w:sz w:val="12"/>
                <w:szCs w:val="12"/>
              </w:rPr>
            </w:pPr>
            <w:r>
              <w:rPr>
                <w:sz w:val="12"/>
                <w:szCs w:val="12"/>
              </w:rPr>
              <w:t>30.12.2015</w:t>
            </w:r>
          </w:p>
        </w:tc>
        <w:tc>
          <w:tcPr>
            <w:tcW w:w="1667"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w:t>
            </w:r>
          </w:p>
        </w:tc>
        <w:tc>
          <w:tcPr>
            <w:tcW w:w="1004"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 </w:t>
            </w:r>
          </w:p>
        </w:tc>
        <w:tc>
          <w:tcPr>
            <w:tcW w:w="1169" w:type="dxa"/>
            <w:tcBorders>
              <w:top w:val="single" w:sz="4" w:space="0" w:color="000000"/>
              <w:left w:val="single" w:sz="4" w:space="0" w:color="000000"/>
              <w:bottom w:val="single" w:sz="4" w:space="0" w:color="000000"/>
            </w:tcBorders>
          </w:tcPr>
          <w:p>
            <w:pPr>
              <w:pStyle w:val="Normal"/>
              <w:jc w:val="center"/>
              <w:rPr>
                <w:sz w:val="12"/>
                <w:szCs w:val="12"/>
              </w:rPr>
            </w:pPr>
            <w:r>
              <w:rPr>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left w:val="single" w:sz="4" w:space="0" w:color="000000"/>
            </w:tcBorders>
            <w:vAlign w:val="bottom"/>
          </w:tcPr>
          <w:p>
            <w:pPr>
              <w:pStyle w:val="Normal"/>
              <w:rPr>
                <w:sz w:val="28"/>
                <w:szCs w:val="28"/>
              </w:rPr>
            </w:pPr>
            <w:r>
              <w:rPr>
                <w:sz w:val="28"/>
                <w:szCs w:val="28"/>
              </w:rPr>
              <w:t>».</w:t>
            </w:r>
          </w:p>
        </w:tc>
      </w:tr>
    </w:tbl>
    <w:p>
      <w:pPr>
        <w:pStyle w:val="Normal"/>
        <w:jc w:val="both"/>
        <w:rPr>
          <w:sz w:val="18"/>
          <w:szCs w:val="18"/>
        </w:rPr>
      </w:pPr>
      <w:r>
        <w:rPr>
          <w:sz w:val="18"/>
          <w:szCs w:val="18"/>
        </w:rPr>
      </w:r>
    </w:p>
    <w:sectPr>
      <w:type w:val="nextPage"/>
      <w:pgSz w:orient="landscape" w:w="16838" w:h="11906"/>
      <w:pgMar w:left="567" w:right="253" w:header="0" w:top="85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Segoe UI">
    <w:charset w:val="cc"/>
    <w:family w:val="swiss"/>
    <w:pitch w:val="variable"/>
  </w:font>
  <w:font w:name="Liberation Sans">
    <w:altName w:val="Arial"/>
    <w:charset w:val="01"/>
    <w:family w:val="swiss"/>
    <w:pitch w:val="variable"/>
  </w:font>
  <w:font w:name="Courier New">
    <w:charset w:val="cc"/>
    <w:family w:val="modern"/>
    <w:pitch w:val="default"/>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paragraph" w:styleId="1">
    <w:name w:val="Heading 1"/>
    <w:basedOn w:val="Normal"/>
    <w:next w:val="Normal"/>
    <w:qFormat/>
    <w:pPr>
      <w:numPr>
        <w:ilvl w:val="0"/>
        <w:numId w:val="1"/>
      </w:numPr>
      <w:autoSpaceDE w:val="false"/>
      <w:spacing w:before="108" w:after="108"/>
      <w:jc w:val="center"/>
      <w:outlineLvl w:val="0"/>
    </w:pPr>
    <w:rPr>
      <w:rFonts w:ascii="Arial" w:hAnsi="Arial" w:cs="Arial"/>
      <w:b/>
      <w:bCs/>
      <w:color w:val="26282F"/>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cs="Times New Roman"/>
    </w:rPr>
  </w:style>
  <w:style w:type="character" w:styleId="WW8Num2z1">
    <w:name w:val="WW8Num2z1"/>
    <w:qFormat/>
    <w:rPr>
      <w:rFonts w:cs="Times New Roman"/>
    </w:rPr>
  </w:style>
  <w:style w:type="character" w:styleId="Style13">
    <w:name w:val="Основной шрифт абзаца"/>
    <w:qFormat/>
    <w:rPr/>
  </w:style>
  <w:style w:type="character" w:styleId="Style14">
    <w:name w:val="Верхний колонтитул Знак"/>
    <w:qFormat/>
    <w:rPr>
      <w:sz w:val="24"/>
      <w:szCs w:val="24"/>
    </w:rPr>
  </w:style>
  <w:style w:type="character" w:styleId="Style15">
    <w:name w:val="Нижний колонтитул Знак"/>
    <w:qFormat/>
    <w:rPr>
      <w:sz w:val="24"/>
      <w:szCs w:val="24"/>
    </w:rPr>
  </w:style>
  <w:style w:type="character" w:styleId="Style16">
    <w:name w:val="Текст выноски Знак"/>
    <w:qFormat/>
    <w:rPr>
      <w:rFonts w:ascii="Segoe UI" w:hAnsi="Segoe UI" w:cs="Segoe UI"/>
      <w:sz w:val="18"/>
      <w:szCs w:val="18"/>
    </w:rPr>
  </w:style>
  <w:style w:type="paragraph" w:styleId="Style17">
    <w:name w:val="Заголовок"/>
    <w:basedOn w:val="Normal"/>
    <w:next w:val="Style18"/>
    <w:qFormat/>
    <w:pPr>
      <w:keepNext w:val="true"/>
      <w:spacing w:before="240" w:after="120"/>
    </w:pPr>
    <w:rPr>
      <w:rFonts w:ascii="Liberation Sans;Arial" w:hAnsi="Liberation Sans;Arial"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ConsPlusNormal">
    <w:name w:val="ConsPlusNormal"/>
    <w:qFormat/>
    <w:pPr>
      <w:widowControl/>
      <w:suppressAutoHyphens w:val="true"/>
      <w:autoSpaceDE w:val="false"/>
      <w:bidi w:val="0"/>
      <w:ind w:left="0" w:right="0" w:firstLine="720"/>
    </w:pPr>
    <w:rPr>
      <w:rFonts w:ascii="Arial" w:hAnsi="Arial" w:eastAsia="Times New Roman" w:cs="Arial"/>
      <w:color w:val="auto"/>
      <w:sz w:val="20"/>
      <w:szCs w:val="20"/>
      <w:lang w:val="ru-RU" w:eastAsia="zh-CN" w:bidi="ar-SA"/>
    </w:rPr>
  </w:style>
  <w:style w:type="paragraph" w:styleId="ConsPlusTitle">
    <w:name w:val="ConsPlusTitle"/>
    <w:qFormat/>
    <w:pPr>
      <w:widowControl w:val="false"/>
      <w:suppressAutoHyphens w:val="true"/>
      <w:autoSpaceDE w:val="false"/>
      <w:bidi w:val="0"/>
    </w:pPr>
    <w:rPr>
      <w:rFonts w:ascii="Arial" w:hAnsi="Arial" w:eastAsia="Times New Roman" w:cs="Arial"/>
      <w:b/>
      <w:bCs/>
      <w:color w:val="auto"/>
      <w:sz w:val="20"/>
      <w:szCs w:val="20"/>
      <w:lang w:val="ru-RU" w:eastAsia="zh-CN" w:bidi="ar-SA"/>
    </w:rPr>
  </w:style>
  <w:style w:type="paragraph" w:styleId="11">
    <w:name w:val="Знак Знак Знак1 Знак"/>
    <w:basedOn w:val="Normal"/>
    <w:qFormat/>
    <w:pPr>
      <w:spacing w:lineRule="exact" w:line="240"/>
      <w:jc w:val="both"/>
    </w:pPr>
    <w:rPr>
      <w:lang w:val="en-US"/>
    </w:rPr>
  </w:style>
  <w:style w:type="paragraph" w:styleId="Style22">
    <w:name w:val="Нормальный (таблица)"/>
    <w:basedOn w:val="Normal"/>
    <w:next w:val="Normal"/>
    <w:qFormat/>
    <w:pPr>
      <w:autoSpaceDE w:val="false"/>
      <w:jc w:val="both"/>
    </w:pPr>
    <w:rPr>
      <w:rFonts w:ascii="Arial" w:hAnsi="Arial" w:cs="Arial"/>
    </w:rPr>
  </w:style>
  <w:style w:type="paragraph" w:styleId="Style23">
    <w:name w:val="Таблицы (моноширинный)"/>
    <w:basedOn w:val="Normal"/>
    <w:next w:val="Normal"/>
    <w:qFormat/>
    <w:pPr>
      <w:autoSpaceDE w:val="false"/>
    </w:pPr>
    <w:rPr>
      <w:rFonts w:ascii="Courier New" w:hAnsi="Courier New" w:cs="Courier New"/>
    </w:rPr>
  </w:style>
  <w:style w:type="paragraph" w:styleId="Style24">
    <w:name w:val="Без интервала"/>
    <w:qFormat/>
    <w:pPr>
      <w:widowControl/>
      <w:suppressAutoHyphens w:val="true"/>
      <w:bidi w:val="0"/>
    </w:pPr>
    <w:rPr>
      <w:rFonts w:ascii="Calibri" w:hAnsi="Calibri" w:eastAsia="Calibri" w:cs="Calibri"/>
      <w:color w:val="auto"/>
      <w:sz w:val="22"/>
      <w:szCs w:val="22"/>
      <w:lang w:val="ru-RU" w:eastAsia="zh-CN" w:bidi="ar-SA"/>
    </w:rPr>
  </w:style>
  <w:style w:type="paragraph" w:styleId="Style25">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Style28">
    <w:name w:val="Текст выноски"/>
    <w:basedOn w:val="Normal"/>
    <w:qFormat/>
    <w:pPr/>
    <w:rPr>
      <w:rFonts w:ascii="Segoe UI" w:hAnsi="Segoe UI" w:cs="Segoe UI"/>
      <w:sz w:val="18"/>
      <w:szCs w:val="18"/>
    </w:rPr>
  </w:style>
  <w:style w:type="paragraph" w:styleId="Style29">
    <w:name w:val="Содержимое таблицы"/>
    <w:basedOn w:val="Normal"/>
    <w:qFormat/>
    <w:pPr>
      <w:suppressLineNumbers/>
    </w:pPr>
    <w:rPr/>
  </w:style>
  <w:style w:type="paragraph" w:styleId="Style30">
    <w:name w:val="Заголовок таблицы"/>
    <w:basedOn w:val="Style29"/>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688</TotalTime>
  <Application>LibreOffice/6.4.7.2$Linux_X86_64 LibreOffice_project/40$Build-2</Application>
  <Pages>8</Pages>
  <Words>2439</Words>
  <Characters>17479</Characters>
  <CharactersWithSpaces>19714</CharactersWithSpaces>
  <Paragraphs>309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2015-11-12T10:39:00Z</dcterms:created>
  <dc:creator>user</dc:creator>
  <dc:description/>
  <dc:language>ru-RU</dc:language>
  <cp:lastModifiedBy>ЖКХ-3</cp:lastModifiedBy>
  <cp:lastPrinted>2025-03-18T16:46:00Z</cp:lastPrinted>
  <dcterms:modified xsi:type="dcterms:W3CDTF">2025-03-18T17:16:00Z</dcterms:modified>
  <cp:revision>194</cp:revision>
  <dc:subject/>
  <dc:title>Администрация</dc:title>
</cp:coreProperties>
</file>